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61664-2023 i Gotlands kommun</w:t>
      </w:r>
    </w:p>
    <w:p>
      <w:r>
        <w:t>Denna tillsynsbegäran behandlar höga naturvärden i avverkningsanmälan A 61664-2023 i Gotlands kommun som inkom 2023-12-05 och omfattar 4,8 ha.</w:t>
      </w:r>
    </w:p>
    <w:p>
      <w:pPr>
        <w:pStyle w:val="Caption"/>
      </w:pPr>
      <w:r>
        <w:drawing>
          <wp:inline xmlns:a="http://schemas.openxmlformats.org/drawingml/2006/main" xmlns:pic="http://schemas.openxmlformats.org/drawingml/2006/picture">
            <wp:extent cx="5486400" cy="4539501"/>
            <wp:docPr id="1" name="Picture 1"/>
            <wp:cNvGraphicFramePr>
              <a:graphicFrameLocks noChangeAspect="1"/>
            </wp:cNvGraphicFramePr>
            <a:graphic>
              <a:graphicData uri="http://schemas.openxmlformats.org/drawingml/2006/picture">
                <pic:pic>
                  <pic:nvPicPr>
                    <pic:cNvPr id="0" name="A 61664-2023 karta.png"/>
                    <pic:cNvPicPr/>
                  </pic:nvPicPr>
                  <pic:blipFill>
                    <a:blip r:embed="rId16"/>
                    <a:stretch>
                      <a:fillRect/>
                    </a:stretch>
                  </pic:blipFill>
                  <pic:spPr>
                    <a:xfrm>
                      <a:off x="0" y="0"/>
                      <a:ext cx="5486400" cy="4539501"/>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6411589, E 736426 i SWEREF 99 TM.</w:t>
      </w:r>
    </w:p>
    <w:p>
      <w:r>
        <w:t>I och inom 25 meter från avverkningsanmälan finns fynd av 19 naturvårdsarter, varav 8 är rödlistade, 6 är fridlysta, 4 är typiska (T) och 7 är signalarter (S): klenodspindling (EN), duvspindling (VU), gulsträngad fagerspindling (VU), blå slemspindling (NT, T), majviva (NT), odörspindling (NT), svinrot (NT), ängsstarr (NT), anisspindling (S), axag (S), blåmossa (S, T), kärrlilja (S), nästrot (S, §8), skogsknipprot (S, T, §8), svavelriska (S), spillkråka (T, §4), brudsporre (§8), kärrknipprot (§8) och ängsnycklar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Klenodspindling (EN)</w:t>
      </w:r>
      <w:r>
        <w:t>, som bildar mykorrhiza med tall och/eller gran i luckig barrskog på kalkrik mark, är en av Europas sällsyntaste spindelskivlingar och i norra Europa är svampen bara känd från Gotland. Arten är placerad högst upp i Skogsstyrelsens värdepyramid för bedömning av skog med höga naturvärden och växtplatserna utgör ofta ”hotspots” med en koncentration av andra sällsynta och hotade mykorrhizasvampar med liknande miljökrav. Arten hotas av avverkningar och kända fyndlokaler behöver områdesskydd, en nödvändighet och förutsättning för artens framtida fortbestånd i Norra Europa. Sverige (och Gotland) har ett stort internationellt ansvar för att denna sällsynta art bevaras på sina få kända växtplatser (SLU Artdatabanken, 2026; Nitare &amp; Skogsstyrelsen, 2019).</w:t>
      </w:r>
    </w:p>
    <w:p>
      <w:r>
        <w:rPr>
          <w:b/>
        </w:rPr>
        <w:t>Duvspindling (VU)</w:t>
      </w:r>
      <w:r>
        <w:t xml:space="preserve"> bildar mykorrhiza med tall och förmodligen även gran i torr, kalkrik barrskog. Arten är placerad högst upp i Skogsstyrelsens värdepyramid för bedömning av skog med höga naturvärden och utgör en mycket bra indikator på skyddsvärd kalktallskog av sydöstlig typ. Kalavverkning, markberedning och markavvattning utgör de främsta hoten (SLU Artdatabanken, 2024; Nitare &amp; Skogsstyrelsen, 2019).</w:t>
      </w:r>
    </w:p>
    <w:p>
      <w:r>
        <w:rPr>
          <w:b/>
        </w:rPr>
        <w:t>Gulsträngad fagerspindling (VU)</w:t>
      </w:r>
      <w:r>
        <w:t>, som bildar mykorrhiza med tall och gran i luckig kalkbarrskog, har sin huvudsakliga utbredning på Gotland samt enstaka fynd på norra Öland. Arten är placerad högst upp i Skogsstyrelsens värdepyramid för bedömning av skog med höga naturvärden och hotas av slutavverkningar av äldre kontinuitetsbarrskog. Lokaler med arten måste skyddas från avverkning och kalkbrytning. Gulsträngad fagerspindling är globalt rödlistad som sårbar (VU) vilket innebär att Sverige har ett internationellt ansvar för arten (SLU Artdatabanken, 2024; Nitare &amp; Skogsstyrelsen, 2019; IUCN, 2019).</w:t>
      </w:r>
    </w:p>
    <w:p>
      <w:r>
        <w:rPr>
          <w:b/>
        </w:rPr>
        <w:t>Blå slemspindling (NT)</w:t>
      </w:r>
      <w:r>
        <w:t xml:space="preserve"> är en mykorrhizasvamp som förekommer i kalkgranskogar med välutvecklade mossmattor och ett örtrikt fältskikt. Den växer även på rik mark i ädellövskog under bok, ek. lind och hassel. Växtplatserna har ofta hög luftfuktighet och ligger gärna i anslutning till en bäck eller ett fuktdråg där marken inte blir helt uttorkad under sommaren. Arten signalerar höga naturvärden och växer ofta tillsammans med många andra ovanliga och rödlistade arter. Den totala populationen i landet bedöms ha minskat och väntas fortsätta minska, främst till följd av avverkning av kalkbarrskogar. Blå slemspindling är typisk art för </w:t>
      </w:r>
      <w:r>
        <w:rPr>
          <w:i/>
        </w:rPr>
        <w:t xml:space="preserve">9050 Näringsrik granskog </w:t>
      </w:r>
      <w:r>
        <w:t>(SLU Artdatabanken, 2026; Nitare &amp; Skogsstyrelsen, 2019).</w:t>
      </w:r>
    </w:p>
    <w:p>
      <w:r>
        <w:rPr>
          <w:b/>
        </w:rPr>
        <w:t>Odörspindling (NT)</w:t>
      </w:r>
      <w:r>
        <w:t xml:space="preserve"> bildar mykorrhiza med gran och tall i örtrik kalkbarrskog. Den uppträder huvudsakligen i äldre barrskogar så kallade ”bondeskogar” med en lång trädkontinuitet. Minskningstakten uppgår till 15 % inom 50 år och bedöms vara nära gränsvärdet för Sårbar (VU). (A2c+3c+4c). Virkesrika, äldre barrskogar med hög bonitet, på bättre jordar är en bristvara i befintliga, skyddade områden i Sverige och fler örtrika barrskogar med trädkontinuitet måste skyddas i större utsträckning än vad som tidigare gjorts. Områden med odörspindling bör inte gallras eller plockhuggas om inte huggningen efterföljs av skogsbete (SLU Artdatabanken, 2024).</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Skogsknipprot (§8)</w:t>
      </w:r>
      <w:r>
        <w:t xml:space="preserve"> är fridlyst enligt 8§ artskyddsförordningen och typisk art för </w:t>
      </w:r>
      <w:r>
        <w:rPr>
          <w:i/>
        </w:rPr>
        <w:t>9050 Näringsrik granskog</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