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32 naturvårdsarter, varav 19 är rödlistade, 11 är fridlysta, 4 är typiska (T) och 6 är signalarter (S): ask (EN), blek bananspindling (EN), klenodspindling (EN), granrotspindling (VU), gulsträngad fagerspindling (VU), mörkfjällig olivspindling (VU), svartgrön spindling (VU), trollspindling (VU), bittermusseron (NT), blå slemspindling (NT, T), fjällig taggsvamp s.str. (NT), flattoppad klubbsvamp (NT), grönsångare (NT, §4), odörspindling (NT), Phellodon dititomentosus (NT), skarp dropptaggsvamp (NT), svart taggsvamp (NT), svinrot (NT), äggspindling (NT), anisspindling (S), nästrot (S, §8), olivspindling (S), skogsknipprot (S, T, §8), svavelriska (S), tvåblad (S, §8), blåsippa (T, §9), spillkråka (T, §4),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