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6153-2024 i Gotlands kommun</w:t>
      </w:r>
    </w:p>
    <w:p>
      <w:r>
        <w:t>Detta klagomål behandlar höga naturvärden i avverkningsanmälan A 6153-2024 i Gotlands kommun som inkom 2024-02-15 och omfattar 14,2 ha.</w:t>
      </w:r>
    </w:p>
    <w:p>
      <w:pPr>
        <w:pStyle w:val="Caption"/>
      </w:pPr>
      <w:r>
        <w:drawing>
          <wp:inline xmlns:a="http://schemas.openxmlformats.org/drawingml/2006/main" xmlns:pic="http://schemas.openxmlformats.org/drawingml/2006/picture">
            <wp:extent cx="4749598" cy="5724000"/>
            <wp:docPr id="1" name="Picture 1"/>
            <wp:cNvGraphicFramePr>
              <a:graphicFrameLocks noChangeAspect="1"/>
            </wp:cNvGraphicFramePr>
            <a:graphic>
              <a:graphicData uri="http://schemas.openxmlformats.org/drawingml/2006/picture">
                <pic:pic>
                  <pic:nvPicPr>
                    <pic:cNvPr id="0" name="A 6153-2024 karta.png"/>
                    <pic:cNvPicPr/>
                  </pic:nvPicPr>
                  <pic:blipFill>
                    <a:blip r:embed="rId16"/>
                    <a:stretch>
                      <a:fillRect/>
                    </a:stretch>
                  </pic:blipFill>
                  <pic:spPr>
                    <a:xfrm>
                      <a:off x="0" y="0"/>
                      <a:ext cx="474959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6388484, E 700907 i SWEREF 99 TM.</w:t>
      </w:r>
    </w:p>
    <w:p>
      <w:r>
        <w:t>I och inom 22 meter från avverkningsanmälan finns fynd av 37 naturvårdsarter, varav 28 är rödlistade, 3 är fridlysta, 6 är typiska (T) och 6 är signalarter (S): ask (EN), svartnande fingersvamp (EN), bredbrämad bastardsvärmare (VU), duvspindling (VU), granrotspindling (VU), gul lammticka (VU), gulsträngad fagerspindling (VU), ljungsnärja (VU), läderdoftande fingersvamp (VU), mörkfjällig olivspindling (VU), narrspindling (VU), sexfläckig bastardsvärmare (VU), solvändesäckmal (VU), svartfläckig blåvinge (VU, §4a), svartgrön spindling (VU), violettfläckig spindling (VU), backtimjan (NT), blå slemspindling (NT, T), brokigt timjansmott (NT), fjällig taggsvamp s.str. (NT), jordtistel (NT), kryddspindling (NT, T), mindre tåtelsmygare (NT), odörspindling (NT), sandkremla (NT), slåtterfibbla (NT, T), solvända (NT), svinrot (NT), anisspindling (S), diskvaxskivling (S), mindre märgborre (S, T), murgröna (S, T), olivspindling (S), strimspindling (S), kattfot (T), åkergroda (§4a)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Svartnande fingersvamp (EN) </w:t>
      </w:r>
      <w:r>
        <w:t>är en mycket sällsynt och starkt hotad art som bara är påträffad i mycket exklusiva miljöer. Den indikerar överallt starkt skyddsvärda områden, såväl skogsmiljöer som öppna kalktorrängar. Lövskogslokalerna utgör gamla strandskogar, lövängar och hagmarker som sedan lång tid tillbaka är igenvuxna och mer eller mindre naturskogsartade. Dessa områden kräver ingen hävd, utan all form av avverkning som leder till mer slutet fältskikt innebär ett hot. På samtliga kända växtplatser förekommer en stor koncentration av andra sällsynta och hotade arter. Svampen är i hela Europa starkt hotad och Sverige hyser sannolikt en stor andel av världspopulationen. Samtliga växtplatser bör skyddas. Svartnande fingersvamp</w:t>
      </w:r>
      <w:r>
        <w:rPr>
          <w:b/>
        </w:rPr>
        <w:t xml:space="preserve"> </w:t>
      </w:r>
      <w:r>
        <w:t>är placerad högst upp i Skogsstyrelsens värdepyramid för bedömning av skog med höga naturvärden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Sandkremla (NT) </w:t>
      </w:r>
      <w:r>
        <w:t>bildar mykorrhiza med tall, i tallskog på sanddyner och tallhedar på kalkrik mark. Knuten till en väl avgränsad och väl genomsökt miljö och växer huvudsakligen i äldre skogsbestånd. Total population i landet bedöms fortgående att minska p.g.a. avverkning av äldre kalktallskog. Tallskog på sandig mark hyser en rad ovanliga svamparter och det är angeläget att sådana skogar undantas från avverkning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