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26 naturvårdsarter, varav 20 är rödlistade, 1 är fridlyst, 7 är typiska (T) och 4 är signalarter (S): Coniocarpon fallax (CR), knölig taggsvamp (EN), duvspindling (VU), granrotspindling (VU), gul lammticka (VU), gulsträngad fagerspindling (VU), gyllenspindling (VU), svartgrön spindling (VU), trollspindling (VU), blek fingersvamp (NT), blå slemspindling (NT, T), dofttaggsvamp (NT, T), fjällig taggsvamp s.str. (NT), kryddspindling (NT, T), odörspindling (NT), orange taggsvamp (NT, T), rödfläckig zontaggsvamp (NT), svart taggsvamp (NT), vårärt (NT, T), äggspindling (NT), anisspindling (S), brandmusseron (S), fransig jordstjärna (S), olivspindling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