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och inom 14 meter från avverkningsanmälan finns fynd av 21 naturvårdsarter, varav 12 är rödlistade, 5 är fridlysta, 7 är typiska (T) och 7 är signalarter (S): ask (EN), fågelträcksspindling (VU), granrotspindling (VU), igelkott (VU), knärot (VU, T, §8), svartgrön spindling (VU), vit taggsvamp (VU), backtimjan (NT), blå slemspindling (NT, T), flattoppad klubbsvamp (NT), odörspindling (NT), sårläka (NT, T), anisspindling (S), diskvaxskivling (S), grönpyrola (S, T), nästrot (S, §8), purpurknipprot (S, §8), skogsknipprot (S, T, §8), svavelriska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1477-2024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6416533, E 721375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slemspindling (NT, T), sårläka (NT, T), grönpyrola (S, T), skogsknipprot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