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530-2024 i Gotlands kommun</w:t>
      </w:r>
    </w:p>
    <w:p>
      <w:r>
        <w:t>Denna tillsynsbegäran behandlar höga naturvärden i avverkningsanmälan A 530-2024 i Gotlands kommun som inkom 2024-01-08 och omfattar 6,5 ha.</w:t>
      </w:r>
    </w:p>
    <w:p>
      <w:pPr>
        <w:pStyle w:val="Caption"/>
      </w:pPr>
      <w:r>
        <w:drawing>
          <wp:inline xmlns:a="http://schemas.openxmlformats.org/drawingml/2006/main" xmlns:pic="http://schemas.openxmlformats.org/drawingml/2006/picture">
            <wp:extent cx="5486400" cy="5337821"/>
            <wp:docPr id="1" name="Picture 1"/>
            <wp:cNvGraphicFramePr>
              <a:graphicFrameLocks noChangeAspect="1"/>
            </wp:cNvGraphicFramePr>
            <a:graphic>
              <a:graphicData uri="http://schemas.openxmlformats.org/drawingml/2006/picture">
                <pic:pic>
                  <pic:nvPicPr>
                    <pic:cNvPr id="0" name="A 530-2024 karta.png"/>
                    <pic:cNvPicPr/>
                  </pic:nvPicPr>
                  <pic:blipFill>
                    <a:blip r:embed="rId16"/>
                    <a:stretch>
                      <a:fillRect/>
                    </a:stretch>
                  </pic:blipFill>
                  <pic:spPr>
                    <a:xfrm>
                      <a:off x="0" y="0"/>
                      <a:ext cx="5486400" cy="5337821"/>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6408257, E 727915 i SWEREF 99 TM.</w:t>
      </w:r>
    </w:p>
    <w:p>
      <w:r>
        <w:t>I och inom 22 meter från avverkningsanmälan finns fynd av 32 naturvårdsarter, varav 19 är rödlistade, 11 är fridlysta, 4 är typiska (T) och 6 är signalarter (S): ask (EN), blek bananspindling (EN), klenodspindling (EN), granrotspindling (VU), gulsträngad fagerspindling (VU), mörkfjällig olivspindling (VU), svartgrön spindling (VU), trollspindling (VU), bittermusseron (NT), blå slemspindling (NT, T), fjällig taggsvamp s.str. (NT), flattoppad klubbsvamp (NT), grönsångare (NT, §4), odörspindling (NT), Phellodon dititomentosus (NT), skarp dropptaggsvamp (NT), svart taggsvamp (NT), svinrot (NT), äggspindling (NT), anisspindling (S), nästrot (S, §8), olivspindling (S), skogsknipprot (S, T, §8), svavelriska (S), tvåblad (S, §8), blåsippa (T, §9), spillkråka (T, §4), grönsiska (§4), halsbandsflugsnappare (§4), fläcknycklar (§8), nattviol (§8) och sankt pers 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Blek bananspindling (EN)</w:t>
      </w:r>
      <w:r>
        <w:t xml:space="preserve"> är en sällsynt och starkt hotad art som bildar mykorrhiza med tall i äldre kalktallskog. Främsta hotet utgörs av skogsbruk med slutavverkning eller andra avverkningar. Arten har så pass få kända lokaler i Norden att alla dess växtplatser formellt bör skyddas. Om svampen påträffas på nya lokaler bör även dessa skyddas. Blek bananspindling</w:t>
      </w:r>
      <w:r>
        <w:rPr>
          <w:b/>
        </w:rPr>
        <w:t xml:space="preserve"> </w:t>
      </w:r>
      <w:r>
        <w:t>är globalt rödlistad som sårbar (VU) vilket innebär att Sverige har ett internationellt ansvar för arten (SLU Artdatabanken, 2026; IUCN, 2015).</w:t>
      </w:r>
    </w:p>
    <w:p>
      <w:r>
        <w:rPr>
          <w:b/>
        </w:rPr>
        <w:t>Klenodspindling (EN)</w:t>
      </w:r>
      <w:r>
        <w:t>, som bildar mykorrhiza med tall och/eller gran i luckig barrskog på kalkrik mark, är en av Europas sällsyntaste spindelskivlingar och i norra Europa är svampen bara känd från Gotland. Arten är placerad högst upp i Skogsstyrelsens värdepyramid för bedömning av skog med höga naturvärden och växtplatserna utgör ofta ”hotspots” med en koncentration av andra sällsynta och hotade mykorrhizasvampar med liknande miljökrav. Arten hotas av avverkningar och kända fyndlokaler behöver områdesskydd, en nödvändighet och förutsättning för artens framtida fortbestånd i Norra Europa. Sverige (och Gotland) har ett stort internationellt ansvar för att denna sällsynta art bevaras på sina få kända växtplatser (SLU Artdatabanken, 2026; Nitare &amp; Skogsstyrelsen, 2019).</w:t>
      </w:r>
    </w:p>
    <w:p>
      <w:r>
        <w:rPr>
          <w:b/>
        </w:rPr>
        <w:t xml:space="preserve">Granrotspindling (VU) </w:t>
      </w:r>
      <w:r>
        <w:t>bildar mykorrhiza med gran. Växer i djup barrförna, gärna i gamla myrstackar, i medelålders till äldre ängsgranskog på kalkrik mark.</w:t>
      </w:r>
      <w:r>
        <w:rPr>
          <w:b/>
        </w:rPr>
        <w:t xml:space="preserve"> </w:t>
      </w:r>
      <w:r>
        <w:t>Minskningstakten uppgår till 30 % inom 50 år och överstiger gränsvärdet för Sårbar (VU) enligt A-kriteriet. (A2c+3c+4c). Arten missgynnas av avverkning och markberedning. Generellt bör lokaler som är särskilt rika på förekomster av sällsynta svampar säkerställas och lämnas för fri utveckling (SLU Artdatabanken, 2024).</w:t>
      </w:r>
    </w:p>
    <w:p>
      <w:r>
        <w:rPr>
          <w:b/>
        </w:rPr>
        <w:t>Gulsträngad fagerspindling (VU)</w:t>
      </w:r>
      <w:r>
        <w:t>, som bildar mykorrhiza med tall och gran i luckig kalkbarrskog, har sin huvudsakliga utbredning på Gotland samt enstaka fynd på norra Öland. Arten är placerad högst upp i Skogsstyrelsens värdepyramid för bedömning av skog med höga naturvärden och hotas av slutavverkningar av äldre kontinuitetsbarrskog. Lokaler med arten måste skyddas från avverkning och kalkbrytning. Gulsträngad fagerspindling är globalt rödlistad som sårbar (VU) vilket innebär att Sverige har ett internationellt ansvar för arten (SLU Artdatabanken, 2024; Nitare &amp; Skogsstyrelsen, 2019; IUCN, 2019).</w:t>
      </w:r>
    </w:p>
    <w:p>
      <w:r>
        <w:rPr>
          <w:b/>
        </w:rPr>
        <w:t>Mörkfjällig olivspindling (VU)</w:t>
      </w:r>
      <w:r>
        <w:t xml:space="preserve"> är en mycket kräsen art som bara förekommer i vissa betespräglade kalktallskogar med långvarig tallkontinuitet samt i exklusiva ädellövskogar på kalk. Arten får betraktas som en ”toppart” som indikerar starkt skyddsvärda skogsområden och den är placerad högst upp i Skogsstyrelsens värdepyramid för bedömning av skog med höga naturvärden. Minskningstakten har uppgått till 30 % under de senaste 50 åren och överstiger gränsvärdet för Sårbar (VU) (SLU Artdatabanken, 2024; Nitare &amp; Skogsstyrelsen, 2019).</w:t>
      </w:r>
    </w:p>
    <w:p>
      <w:r>
        <w:rPr>
          <w:b/>
        </w:rPr>
        <w:t>Svartgrön spindling (VU)</w:t>
      </w:r>
      <w:r>
        <w:t>, som bildar mykorrhiza med gran och tall i ängsgranskog och barrblandskog på kalkrik mark, har i Sverige sin huvudsakliga utbredning på Gotland. Arten är placerad högst upp i Skogsstyrelsens värdepyramid för bedömning av skog med höga naturvärden och den missgynnas av intensivt skogsbruk och kalavverkningar. Svartgrön spindling är globalt rödlistad som nära hotad (NT) vilket innebär att Sverige har ett internationellt ansvar för arten (SLU Artdatabanken, 2024; Nitare &amp; Skogsstyrelsen, 2019; IUCN, 2019).</w:t>
      </w:r>
    </w:p>
    <w:p>
      <w:r>
        <w:rPr>
          <w:b/>
        </w:rPr>
        <w:t>Trollspindling (VU)</w:t>
      </w:r>
      <w:r>
        <w:t xml:space="preserve"> är en ytterst sällsynt ädelspindling som bildar mykorrhiza med tall och gran i ljusöppen och luckig kalkbarrskog. Främsta hotet är rationellt skogsbruk med slutavverkning eller andra avverkningar. Skydda kända lokaler formellt och om svampen påträffas på nya lokaler bör även dessa skyddas (SLU Artdatabanken, 2026).</w:t>
      </w:r>
    </w:p>
    <w:p>
      <w:r>
        <w:rPr>
          <w:b/>
        </w:rPr>
        <w:t>Bittermusseron (NT)</w:t>
      </w:r>
      <w:r>
        <w:t xml:space="preserve"> är en kalkgynnad och värmeälskande förnasvamp som påträffas i äldre kalkbarrskogar, gärna på relativt torr mark. Virkesrika, äldre barrskogar med hög bonitet, på bättre jordar är en bristvara i befintliga, skyddade områden i Sverige. Därför måste fler örtrika barrskogar, särskilt de med trädkontinuitet, skyddas i större utsträckning än vad som tidigare gjorts. Uttag av skog ska helst göras genom plockhuggning, blädning eller andra alternativa, skonsamma avverkningsformer (SLU Artdatabanken, 2024; Nitare &amp; Skogsstyrelsen, 2019).</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i/>
        </w:rPr>
        <w:t xml:space="preserve">Phellodon dititomentosus </w:t>
      </w:r>
      <w:r>
        <w:rPr>
          <w:b/>
        </w:rPr>
        <w:t xml:space="preserve">(NT) </w:t>
      </w:r>
      <w:r>
        <w:t>är en lädertaggsvamp som bildar mykorrhiza med gran i äldre barrskog på kalkrik mark. Den totala populationen i landet bedöms ha minskat och förväntas fortsätta minska på grund av slutavverkning av äldre kalkbarrskog och kontinuitetsskog. Arten har sannolikt svårt att återetablera sig efter kalavverkning, och det saknas tecken på att den långsiktigt kan etablera och reproducera sig i skogar där kontinuerlig markberedning, gödsling eller trakthyggesbruk förekommer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Svart taggsvamp (NT)</w:t>
      </w:r>
      <w:r>
        <w:t xml:space="preserve"> bildar mykorrhiza med tall, möjligen även med gran, i barrskog på kalkrik eller annan basiskt påverkad mark. Den totala populationen i landet har minskat och bedöms fortsätta minska till följd av avverkning av kalkbarrskogar. Arten har begränsad förmåga att återetablera sig efter slutavverkning eller andra storskaliga skogsbruksåtgärder. Det finns inga indikationer på att arten långsiktigt kan etablera eller reproducera sig i skogsbestånd som brukas med trakthyggesmetoder, markberedning, gödsling eller föryngring med förädlat plantmaterial. Minskningstakten uppgår till 25 (15–50) % inom 50 år och bedöms vara nära gränsvärdet för sårbar (VU) (SLU Artdatabanken, 2026).</w:t>
      </w:r>
    </w:p>
    <w:p>
      <w:r>
        <w:rPr>
          <w:b/>
        </w:rPr>
        <w:t xml:space="preserve">Äggspindling (NT) </w:t>
      </w:r>
      <w:r>
        <w:t>bildar mykorrhiza med gran i äldre ängsgranskog på kalkrik mark och kräver sannolikt lång kontinuitet av äldre träd. Arten bedöms ha minskat med mer än 15 % över de senaste 50 åren, p.g.a. slutavverkning av äldre skog och minskningstakten för den svenska populationen bedöms vara nära gränsvärdet för Sårbar (VU). (A2c+3c+4c). På artens växtplatser måste skogsbruk ske med stor försiktighet eftersom de ofta innehåller ett stort antal sällsynta och hotade arter. Lokaler med rika förekomster bör betraktas som nyckelbiotoper och helt undantas från avverkning. Äggspindling är globalt rödlistad som nära hotad (NT) vilket innebär att Sverige har ett internationellt ansvar för arten (SLU Artdatabanken, 2024; Nitare &amp; Skogsstyrelsen, 2019; IUCN, 2019).</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Skogsknipprot (§8)</w:t>
      </w:r>
      <w:r>
        <w:t xml:space="preserve"> är fridlyst enligt 8§ artskyddsförordningen och typisk art för </w:t>
      </w:r>
      <w:r>
        <w:rPr>
          <w:i/>
        </w:rPr>
        <w:t>9050 Näringsrik granskog</w:t>
      </w:r>
      <w:r>
        <w:t xml:space="preserv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