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62754-2025 i Gotlands kommun</w:t>
      </w:r>
    </w:p>
    <w:p>
      <w:r>
        <w:t>Denna tillsynsbegäran behandlar höga naturvärden i avverkningsanmälan A 62754-2025 i Gotlands kommun som inkom 2025-12-17 och omfattar 2,9 ha.</w:t>
      </w:r>
    </w:p>
    <w:p>
      <w:pPr>
        <w:pStyle w:val="Caption"/>
      </w:pPr>
      <w:r>
        <w:drawing>
          <wp:inline xmlns:a="http://schemas.openxmlformats.org/drawingml/2006/main" xmlns:pic="http://schemas.openxmlformats.org/drawingml/2006/picture">
            <wp:extent cx="5486400" cy="4834065"/>
            <wp:docPr id="1" name="Picture 1"/>
            <wp:cNvGraphicFramePr>
              <a:graphicFrameLocks noChangeAspect="1"/>
            </wp:cNvGraphicFramePr>
            <a:graphic>
              <a:graphicData uri="http://schemas.openxmlformats.org/drawingml/2006/picture">
                <pic:pic>
                  <pic:nvPicPr>
                    <pic:cNvPr id="0" name="A 62754-2025 karta.png"/>
                    <pic:cNvPicPr/>
                  </pic:nvPicPr>
                  <pic:blipFill>
                    <a:blip r:embed="rId16"/>
                    <a:stretch>
                      <a:fillRect/>
                    </a:stretch>
                  </pic:blipFill>
                  <pic:spPr>
                    <a:xfrm>
                      <a:off x="0" y="0"/>
                      <a:ext cx="5486400" cy="483406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6419443, E 722922 i SWEREF 99 TM.</w:t>
      </w:r>
    </w:p>
    <w:p>
      <w:r>
        <w:t>I avverkningsanmälan finns fynd av 4 naturvårdsarter, varav 3 är rödlistade, 1 är typisk (T) och 1 är signalart (S): gulsträngad fagerspindling (VU), trollspindling (VU), kattfotslav (NT, T) och olivspindling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Gulsträngad fagerspindling (VU)</w:t>
      </w:r>
      <w:r>
        <w:t>, som bildar mykorrhiza med tall och gran i luckig kalkbarrskog, har sin huvudsakliga utbredning på Gotland samt enstaka fynd på norra Öland. Arten är placerad högst upp i Skogsstyrelsens värdepyramid för bedömning av skog med höga naturvärden och hotas av slutavverkningar av äldre kontinuitetsbarrskog. Lokaler med arten måste skyddas från avverkning och kalkbrytning. Gulsträngad fagerspindling är globalt rödlistad som sårbar (VU) vilket innebär att Sverige har ett internationellt ansvar för arten (SLU Artdatabanken, 2024; Nitare &amp; Skogsstyrelsen, 2019; IUCN, 2019).</w:t>
      </w:r>
    </w:p>
    <w:p>
      <w:r>
        <w:rPr>
          <w:b/>
        </w:rPr>
        <w:t>Trollspindling (VU)</w:t>
      </w:r>
      <w:r>
        <w:t xml:space="preserve"> är en ytterst sällsynt ädelspindling som bildar mykorrhiza med tall och gran i ljusöppen och luckig kalkbarrskog. Främsta hotet är rationellt skogsbruk med slutavverkning eller andra avverkningar. Skydda kända lokaler formellt och om svampen påträffas på nya lokaler bör även dessa skyddas (SLU Artdatabanken, 2026).</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Olivspindling</w:t>
      </w:r>
      <w:r>
        <w:t xml:space="preserve"> växer uteslutande på näringsrik och kalkhaltig skogsmark där den huvudsakligen bildar mykorrhiza med gran och tall. Svampen är en typisk representant för kalkgranskogens särpräglade och rika svampflora. Kalavverkning är ett hot mot arten, eftersom den sannolikt kräver lång kontinuitet av äldre träd. Populationerna i landet bedöms därför minska beroende på slutavverkning av äldre barrskog på kalkhaltig mark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