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63149-2025 i Gotlands kommun</w:t>
      </w:r>
    </w:p>
    <w:p>
      <w:r>
        <w:t>Denna tillsynsbegäran behandlar höga naturvärden i avverkningsanmälan A 63149-2025 i Gotlands kommun som inkom 2025-12-19 och omfattar 4,3 ha.</w:t>
      </w:r>
    </w:p>
    <w:p>
      <w:pPr>
        <w:pStyle w:val="Caption"/>
      </w:pPr>
      <w:r>
        <w:drawing>
          <wp:inline xmlns:a="http://schemas.openxmlformats.org/drawingml/2006/main" xmlns:pic="http://schemas.openxmlformats.org/drawingml/2006/picture">
            <wp:extent cx="5464355" cy="5724000"/>
            <wp:docPr id="1" name="Picture 1"/>
            <wp:cNvGraphicFramePr>
              <a:graphicFrameLocks noChangeAspect="1"/>
            </wp:cNvGraphicFramePr>
            <a:graphic>
              <a:graphicData uri="http://schemas.openxmlformats.org/drawingml/2006/picture">
                <pic:pic>
                  <pic:nvPicPr>
                    <pic:cNvPr id="0" name="A 63149-2025 karta.png"/>
                    <pic:cNvPicPr/>
                  </pic:nvPicPr>
                  <pic:blipFill>
                    <a:blip r:embed="rId16"/>
                    <a:stretch>
                      <a:fillRect/>
                    </a:stretch>
                  </pic:blipFill>
                  <pic:spPr>
                    <a:xfrm>
                      <a:off x="0" y="0"/>
                      <a:ext cx="5464355"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6367762, E 716749 i SWEREF 99 TM.</w:t>
      </w:r>
    </w:p>
    <w:p>
      <w:r>
        <w:t>I och inom 24 meter från avverkningsanmälan finns fynd av 15 naturvårdsarter, varav 8 är rödlistade, 8 är fridlysta, 3 är typiska (T) och 2 är signalarter (S): backsippa (VU, §8), backtimjan (NT), berggräsfjäril (NT), dårgräsfjäril (NT, §4a), gulsparv (NT, §4), odörspindling (NT), solvända (NT), svinrot (NT), anisspindling (S), skogsknipprot (S, T, §8), ormbär (T), spillkråka (T, §4), fläcknycklar (§8), nattviol (§8)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