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30236-2025 i Gotlands kommun</w:t>
      </w:r>
    </w:p>
    <w:p>
      <w:r>
        <w:t>Detta klagomål behandlar höga naturvärden i avverkningsanmälan A 30236-2025 i Gotlands kommun som inkom 2025-06-19 och omfattar 13,6 ha.</w:t>
      </w:r>
    </w:p>
    <w:p>
      <w:pPr>
        <w:pStyle w:val="Caption"/>
      </w:pPr>
      <w:r>
        <w:drawing>
          <wp:inline xmlns:a="http://schemas.openxmlformats.org/drawingml/2006/main" xmlns:pic="http://schemas.openxmlformats.org/drawingml/2006/picture">
            <wp:extent cx="4830870" cy="5724000"/>
            <wp:docPr id="1" name="Picture 1"/>
            <wp:cNvGraphicFramePr>
              <a:graphicFrameLocks noChangeAspect="1"/>
            </wp:cNvGraphicFramePr>
            <a:graphic>
              <a:graphicData uri="http://schemas.openxmlformats.org/drawingml/2006/picture">
                <pic:pic>
                  <pic:nvPicPr>
                    <pic:cNvPr id="0" name="A 30236-2025 karta.png"/>
                    <pic:cNvPicPr/>
                  </pic:nvPicPr>
                  <pic:blipFill>
                    <a:blip r:embed="rId16"/>
                    <a:stretch>
                      <a:fillRect/>
                    </a:stretch>
                  </pic:blipFill>
                  <pic:spPr>
                    <a:xfrm>
                      <a:off x="0" y="0"/>
                      <a:ext cx="4830870"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6385159, E 725605 i SWEREF 99 TM.</w:t>
      </w:r>
    </w:p>
    <w:p>
      <w:r>
        <w:t>I och inom 17 meter från avverkningsanmälan finns fynd av 34 naturvårdsarter, varav 19 är rödlistade, 10 är fridlysta, 6 är typiska (T) och 11 är signalarter (S): bullspindling (VU), duvspindling (VU), garderönn (VU, §7), granrotspindling (VU), gulsträngad fagerspindling (VU), läderdoftande fingersvamp (VU), stor granspindling (VU), svartgrön spindling (VU), tallpraktspindling (VU), vit taggsvamp (VU), blå slemspindling (NT, T), denisespindling (NT), jordtistel (NT), kungsörn (NT, §4), odörspindling (NT), reliktbock (NT, T), rödfläckig zontaggsvamp (NT), svinrot (NT), sårläka (NT, T), anisspindling (S), blåmossa (S, T), grönpyrola (S, T), jordstjärnesläktet (S), kantjordstjärna (S), nästrot (S, §8), olivspindling (S), purpurknipprot (S, §8), tvåblad (S, §8), vit skogslilja (S, §8), zontaggsvamp (S), spillkråka (T, §4), grönvit nattviol (§8), nattviol (§8)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Stor granspindling (VU)</w:t>
      </w:r>
      <w:r>
        <w:t xml:space="preserve"> bildar mykorrhiza med gran, eventuellt även med tall, i ängsgranskog och barrblandskog på kalkrik mark. Växer huvudsakligen i äldre skogsbestånd bland örter eller i djup mossa. Arten påverkas negativt av brist på kontinuitetsskog och den totala populationen i landet bedöms fortgående minska p.g.a. slutavverkningar av äldre kalkbarrskog och försämrad habitatkvalitet (SLU Artdatabanken, 2026).</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Tallpraktspindling (VU)</w:t>
      </w:r>
      <w:r>
        <w:t>, som bildar mykorrhiza med tall i luckig kalkbarrskog, har sin huvudsakliga utbredning på Gotland samt enstaka fynd på norra Öland. Arten är placerad högst upp i Skogsstyrelsens värdepyramid för bedömning av skog med höga naturvärden och gammal tallskog med förekomst av arten bör skyddas från slutavverkning och andra drastiska skogsskötselåtgärder (SLU Artdatabanken, 2024; Nitare &amp; Skogsstyrelsen, 2019).</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34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