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922-2023 i Gotlands kommun</w:t>
      </w:r>
    </w:p>
    <w:p>
      <w:r>
        <w:t>Detta klagomål behandlar höga naturvärden i avverkningsanmälan A 922-2023 i Gotlands kommun som inkom 2023-01-06 och omfattar 6,9 ha.</w:t>
      </w:r>
    </w:p>
    <w:p>
      <w:pPr>
        <w:pStyle w:val="Caption"/>
      </w:pPr>
      <w:r>
        <w:drawing>
          <wp:inline xmlns:a="http://schemas.openxmlformats.org/drawingml/2006/main" xmlns:pic="http://schemas.openxmlformats.org/drawingml/2006/picture">
            <wp:extent cx="5486400" cy="5355728"/>
            <wp:docPr id="1" name="Picture 1"/>
            <wp:cNvGraphicFramePr>
              <a:graphicFrameLocks noChangeAspect="1"/>
            </wp:cNvGraphicFramePr>
            <a:graphic>
              <a:graphicData uri="http://schemas.openxmlformats.org/drawingml/2006/picture">
                <pic:pic>
                  <pic:nvPicPr>
                    <pic:cNvPr id="0" name="A 922-2023 karta.png"/>
                    <pic:cNvPicPr/>
                  </pic:nvPicPr>
                  <pic:blipFill>
                    <a:blip r:embed="rId16"/>
                    <a:stretch>
                      <a:fillRect/>
                    </a:stretch>
                  </pic:blipFill>
                  <pic:spPr>
                    <a:xfrm>
                      <a:off x="0" y="0"/>
                      <a:ext cx="5486400" cy="5355728"/>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6359029, E 702276 i SWEREF 99 TM.</w:t>
      </w:r>
    </w:p>
    <w:p>
      <w:r>
        <w:t>I och inom 25 meter från avverkningsanmälan finns fynd av 24 naturvårdsarter, varav 14 är rödlistade, 4 är fridlysta, 5 är typiska (T) och 8 är signalarter (S): bredbrämad bastardsvärmare (VU), granrotspindling (VU), gulsträngad fagerspindling (VU), läderdoftande fingersvamp (VU), svartgrön spindling (VU), tvillingspindling (VU), violettfläckig spindling (VU), barrviolspindling (NT), blå slemspindling (NT, T), dårgräsfjäril (NT, §4a), odörspindling (NT), svinrot (NT), tallticka (NT, T), äggspindling (NT), anisspindling (S), fransig jordstjärna (S), olivspindling (S), purpurknipprot (S, §8), rödbrun jordstjärna (S), rödgul trumpetsvamp (S), skogsknipprot (S, T, §8), svavelriska (S), ormbär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Granrotspindling (VU) </w:t>
      </w:r>
      <w:r>
        <w:t>bildar mykorrhiza med gran. Växer i djup barrförna, gärna i gamla myrstackar, i medelålders till äldre ängsgranskog på kalkrik mark.</w:t>
      </w:r>
      <w:r>
        <w:rPr>
          <w:b/>
        </w:rPr>
        <w:t xml:space="preserve"> </w:t>
      </w:r>
      <w:r>
        <w:t>Minskningstakten uppgår till 30 % inom 50 år och överstiger gränsvärdet för Sårbar (VU) enligt A-kriteriet. (A2c+3c+4c). Arten missgynnas av avverkning och markberedning. Generellt bör lokaler som är särskilt rika på förekomster av sällsynta svampar säkerställas och lämnas för fri utveckling (SLU Artdatabanken, 2024).</w:t>
      </w:r>
    </w:p>
    <w:p>
      <w:r>
        <w:rPr>
          <w:b/>
        </w:rPr>
        <w:t>Gulsträngad fagerspindling (VU)</w:t>
      </w:r>
      <w:r>
        <w:t>, som bildar mykorrhiza med tall och gran i luckig kalkbarrskog, har sin huvudsakliga utbredning på Gotland samt enstaka fynd på norra Öland. Arten är placerad högst upp i Skogsstyrelsens värdepyramid för bedömning av skog med höga naturvärden och hotas av slutavverkningar av äldre kontinuitetsbarrskog. Lokaler med arten måste skyddas från avverkning och kalkbrytning. Gulsträngad fagerspindling är globalt rödlistad som sårbar (VU) vilket innebär att Sverige har ett internationellt ansvar för arten (SLU Artdatabanken, 2024; Nitare &amp; Skogsstyrelsen, 2019; IUCN, 2019).</w:t>
      </w:r>
    </w:p>
    <w:p>
      <w:r>
        <w:rPr>
          <w:b/>
        </w:rPr>
        <w:t xml:space="preserve">Läderdoftande fingersvamp (VU) </w:t>
      </w:r>
      <w:r>
        <w:t>bildar mykorrhiza med gran i örtrik äldre barrskog, ofta på kalkrik mark. Den har en speciell doft som kan påminna om nytt skoläder (skoaffär), därav det svenska namnet. Den totala populationen i landet bedöms ändå ha minskat starkt och fortsatt kommer att minska då arten är knuten till en bördig äldre kalkgranskogsmiljö som successivt avverkas och där få områden alltjämt är formellt skyddade. All form av hårdhänt skogsavverkning på eller i närheten av växtplatsen missgynnar arten. Artens huvudsakliga koppling till produktiva äldre granskogar med hög bonitet gör den särskilt utsatt för slutavverkning. Samtliga lokaler bör undantas från rationellt skogsbruk och få ett områdesskydd (SLU Artdatabanken, 2024; Nitare &amp; Skogsstyrelsen, 2019).</w:t>
      </w:r>
    </w:p>
    <w:p>
      <w:r>
        <w:rPr>
          <w:b/>
        </w:rPr>
        <w:t>Svartgrön spindling (VU)</w:t>
      </w:r>
      <w:r>
        <w:t>, som bildar mykorrhiza med gran och tall i ängsgranskog och barrblandskog på kalkrik mark, har i Sverige sin huvudsakliga utbredning på Gotland. Arten är placerad högst upp i Skogsstyrelsens värdepyramid för bedömning av skog med höga naturvärden och den missgynnas av intensivt skogsbruk och kalavverkningar. Svartgrön spindling är globalt rödlistad som nära hotad (NT) vilket innebär att Sverige har ett internationellt ansvar för arten (SLU Artdatabanken, 2024; Nitare &amp; Skogsstyrelsen, 2019; IUCN, 2019).</w:t>
      </w:r>
    </w:p>
    <w:p>
      <w:r>
        <w:rPr>
          <w:b/>
        </w:rPr>
        <w:t>Tvillingspindling (VU)</w:t>
      </w:r>
      <w:r>
        <w:t xml:space="preserve"> bildar mykorrhiza med gran och växer enbart i örtrika grandominerade kalkbarrskogar med kontinuitet och hög bonitet, miljöer som idag är starkt hotade av slutavverkningar. Tvillingspindlingen liksom en lång rad av dess följearter knutna till kalk- och örtrika barrblandskogar med lång kontinuitet är beroende av områdesskydd eller naturvårdsavtal som förhindrar slutavverkningar av dess växtmiljöer (SLU Artdatabanken, 2024).</w:t>
      </w:r>
    </w:p>
    <w:p>
      <w:r>
        <w:rPr>
          <w:b/>
        </w:rPr>
        <w:t>Violettfläckig spindling (VU)</w:t>
      </w:r>
      <w:r>
        <w:t xml:space="preserve"> bildar mykorrhiza med gran och tall i äldre kalkbarrskogar på torr, örtrik mark. Minskningstakten uppgår till 30 % inom 50 år och överstiger gränsvärdet för Sårbar (VU). Artens ekologiska krav med fynd enbart i äldre, örtrika kalkbarrskogar med kontinuitet, miljöer som idag ofta är starkt hotade av slutavverkningar, gör den mycket sårbar. Alla kända lokaler har ett högt skyddsvärde och kalkbarrskogar med höga naturvärden bör få områdesskydd med individuellt anpassade skötselråd (SLU Artdatabanken, 2024).</w:t>
      </w:r>
    </w:p>
    <w:p>
      <w:r>
        <w:rPr>
          <w:b/>
        </w:rPr>
        <w:t>Barrviolspindling (NT)</w:t>
      </w:r>
      <w:r>
        <w:t xml:space="preserve"> bildar mykorrhiza med gran, huvudsakligen i örtrika kalkpåverkade äldre granskogar. Arten är sannolikt uttorkningskänslig och knuten till granskogar med långvarig grankontinuitet. Den hotas främst av skogsavverkning och tycks försvinna efter slutavverkning, markberedning och plantering. Minskningstakten uppgår till 15 % inom 50 år och bedöms vara nära gränsvärdet för Sårbar (VU). (A2c+3c+4c) (SLU Artdatabanken, 2024; Nitare &amp; Skogsstyrelsen, 2019).</w:t>
      </w:r>
    </w:p>
    <w:p>
      <w:r>
        <w:rPr>
          <w:b/>
        </w:rPr>
        <w:t>Blå slemspindling (NT)</w:t>
      </w:r>
      <w:r>
        <w:t xml:space="preserve"> är en mykorrhizasvamp som förekommer i kalkgranskogar med välutvecklade mossmattor och ett örtrikt fältskikt. Den växer även på rik mark i ädellövskog under bok, ek. lind och hassel. Växtplatserna har ofta hög luftfuktighet och ligger gärna i anslutning till en bäck eller ett fuktdråg där marken inte blir helt uttorkad under sommaren. Arten signalerar höga naturvärden och växer ofta tillsammans med många andra ovanliga och rödlistade arter. Den totala populationen i landet bedöms ha minskat och väntas fortsätta minska, främst till följd av avverkning av kalkbarrskogar. Blå slemspindling är typisk art för </w:t>
      </w:r>
      <w:r>
        <w:rPr>
          <w:i/>
        </w:rPr>
        <w:t xml:space="preserve">9050 Näringsrik granskog </w:t>
      </w:r>
      <w:r>
        <w:t>(SLU Artdatabanken, 2026; Nitare &amp; Skogsstyrelsen, 2019).</w:t>
      </w:r>
    </w:p>
    <w:p>
      <w:r>
        <w:rPr>
          <w:b/>
        </w:rPr>
        <w:t>Dårgräsfjäril (NT, §4a)</w:t>
      </w:r>
      <w:r>
        <w:t xml:space="preserve"> är rödlistad som nära hotad, fridlyst enligt 4a§ artskyddsförordningen och omfattas av bilaga 4 EU:s art- och habitatdirektiv vilket innebär ett strikt skydd där hela livsmiljön ska bevaras. Sedan 2005 omfattas dårgräsfjärilen av ett åtgärdsprogram för hotade arter (SLU Artdatabanken, 2024; Bergman, 2005). Hanar av dårgräsfjärilen ses ofta patrullera längs med bryn och vägar medan ägg-, larv- och puppstadier sker i bryn och i mindre gläntor inne i skogen. Speciellt äggen är uttorkningskänsliga och arten överlever inte kalavverkning (SLU Artdatabanken, 2024).</w:t>
      </w:r>
    </w:p>
    <w:p>
      <w:r>
        <w:rPr>
          <w:b/>
        </w:rPr>
        <w:t>Odörspindling (NT)</w:t>
      </w:r>
      <w:r>
        <w:t xml:space="preserve"> bildar mykorrhiza med gran och tall i örtrik kalkbarrskog. Den uppträder huvudsakligen i äldre barrskogar så kallade ”bondeskogar” med en lång trädkontinuitet. Minskningstakten uppgår till 15 % inom 50 år och bedöms vara nära gränsvärdet för Sårbar (VU). (A2c+3c+4c). Virkesrika, äldre barrskogar med hög bonitet, på bättre jordar är en bristvara i befintliga, skyddade områden i Sverige och fler örtrika barrskogar med trädkontinuitet måste skyddas i större utsträckning än vad som tidigare gjorts. Områden med odörspindling bör inte gallras eller plockhuggas om inte huggningen efterföljs av skogsbete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Äggspindling (NT) </w:t>
      </w:r>
      <w:r>
        <w:t>bildar mykorrhiza med gran i äldre ängsgranskog på kalkrik mark och kräver sannolikt lång kontinuitet av äldre träd. Arten bedöms ha minskat med mer än 15 % över de senaste 50 åren, p.g.a. slutavverkning av äldre skog och minskningstakten för den svenska populationen bedöms vara nära gränsvärdet för Sårbar (VU). (A2c+3c+4c). På artens växtplatser måste skogsbruk ske med stor försiktighet eftersom de ofta innehåller ett stort antal sällsynta och hotade arter. Lokaler med rika förekomster bör betraktas som nyckelbiotoper och helt undantas från avverkning. Äggspindling är globalt rödlistad som nära hotad (NT) vilket innebär att Sverige har ett internationellt ansvar för arten (SLU Artdatabanken, 2024; Nitare &amp; Skogsstyrelsen, 2019; IUCN, 2019).</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 xml:space="preserve">Rödbrun jordstjärna </w:t>
      </w:r>
      <w:r>
        <w:t>lever som nedbrytare i mer eller mindre basiska, ofta kalkrika jordar i tallskog, men även i askskog och blandskog. Artens växtplatser och närliggande skogsmiljö undantas från slutavverkning och genomgripande gallringar eller röjningar av enbuskar i vars barrmattor den lever (SLU Artdatabanken, 2024).</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Skogsknipprot (§8)</w:t>
      </w:r>
      <w:r>
        <w:t xml:space="preserve"> är fridlyst enligt 8§ artskyddsförordningen och typisk art för </w:t>
      </w:r>
      <w:r>
        <w:rPr>
          <w:i/>
        </w:rPr>
        <w:t>9050 Näringsrik granskog</w:t>
      </w:r>
      <w:r>
        <w:t xml:space="preserve"> (SLU Artdatabanken, 2025).</w:t>
      </w:r>
    </w:p>
    <w:p>
      <w:r>
        <w:rPr>
          <w:b/>
        </w:rPr>
        <w:t>Ormbär</w:t>
      </w:r>
      <w:r>
        <w:t xml:space="preserve"> är typisk art för </w:t>
      </w:r>
      <w:r>
        <w:rPr>
          <w:i/>
        </w:rPr>
        <w:t xml:space="preserve">9050 Näringsrik granskog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22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24 naturvårdsarter varav 14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Dårgräsfjäril – ekologi samt krav på livsmiljön</w:t>
      </w:r>
    </w:p>
    <w:p>
      <w:r>
        <w:t xml:space="preserve">Dårgräsfjäril </w:t>
      </w:r>
      <w:r>
        <w:rPr>
          <w:i/>
        </w:rPr>
        <w:t>Lopinga achine</w:t>
      </w:r>
      <w:r>
        <w:t xml:space="preserve"> (NT, §4a) är rödlistad som nära hotad, fridlyst enligt 4a§ artskyddsförordningen och omfattas av bilaga 4 EU:s art- och habitatdirektiv vilket innebär ett strikt skydd där hela artens livsmiljö ska bevaras. Sedan 2005 omfattas den av ett åtgärdsprogram (ÅGP) för hotade arter.</w:t>
      </w:r>
    </w:p>
    <w:p>
      <w:r>
        <w:t xml:space="preserve">I Sverige förekommer dårgräsfjärilen i Östergötland och på Gotland. Den påträffas i gles skog med riklig förekomst av artens värdväxt lundstarr </w:t>
      </w:r>
      <w:r>
        <w:rPr>
          <w:i/>
        </w:rPr>
        <w:t>Carex montana</w:t>
      </w:r>
      <w:r>
        <w:t>, som trivs på mullrik, gärna kalkhaltig mineraljord. På Gotland förekommer arten i ljus, lågvuxen ängstallskog med buskskikt av brakved, rönn och oxel (SLU Artdatabanken, 2024).</w:t>
      </w:r>
    </w:p>
    <w:p>
      <w:r>
        <w:t>Arten är mycket lokaltrogen och en undersökning av fjärilarnas spridningsförmåga med märkning- och återfångstförsök visade att de undviker att flytta längre sträckor, den längsta sträcka som uppmättes var 700 m (Bergman &amp; Landin 2002). De var mer benägna att flytta sig genom skogsmark än över öppen mark. Hanarna patrullerar buskbrynens solexponerade sida på jakt efter oparade honor (SLU Artdatabanken, 2024). Vid äggläggningen släpper honan äggen under flykten i anslutning till bestånd av lundstarr som växer i buskbryn och mindre gläntor inne i skogen. Äggen är känsliga för uttorkning och honan undviker därför att släppa dem alltför långt från skuggivande buskage.</w:t>
      </w:r>
    </w:p>
    <w:p>
      <w:r>
        <w:t>Arten hotas av granplantering, slutavverkning, alltför hård röjning och gallring. På fastlandet hotas fjärilen av igenväxning medan gotlandslokalerna inte verkar vara lika starkt utsatta för igenväxning, vilket sannolikt beror på de tunnare jordlagren. På Gotland är det snarare kalhyggesbruk som kan hota arten. På Gotland, där utbredningsområdet är större, är ett försiktigt skogsbruk (plockhuggning) på dårgräsfjärilens lokaler troligen möjligt, förutsatt att det finns orörda lokaler i närheten från vilka den kan återkolonisera områdena efteråt (SLU Artdatabanken, 2024).</w:t>
      </w:r>
    </w:p>
    <w:p>
      <w:r>
        <w:t>Dårgräsfjäril är en av de mest hotade dagfjärilarna i Nordvästeuropa. Populationstrenden är kraftigt vikande i Tyskland, Tjeckien, Slovakien, Polen och Österrike och vikande i flertalet övriga länder i Europa utom i europeiska delen av Ryssland, Estland, Lettland och Finland där den är stabil eller expanderande. Arten är försvunnen i Belgien och Bulgarien (SLU Artdatabanken, 2024).</w:t>
      </w:r>
    </w:p>
    <w:p>
      <w:pPr>
        <w:pStyle w:val="Heading2"/>
      </w:pPr>
      <w:r>
        <w:t>Referenser – dårgräsfjäril</w:t>
      </w:r>
    </w:p>
    <w:p>
      <w:r>
        <w:t xml:space="preserve">Bergman, K.-O., 2005. </w:t>
      </w:r>
      <w:r>
        <w:rPr>
          <w:i/>
        </w:rPr>
        <w:t xml:space="preserve">Åtgärdsprogram för bevarande av dårgräsfjäril (Lopinga achine). </w:t>
      </w:r>
      <w:r>
        <w:t>(5527). Bromma. https://www.naturvardsverket.se/978-91-620-5527-5</w:t>
      </w:r>
    </w:p>
    <w:p>
      <w:r>
        <w:t xml:space="preserve">Bergman, K.-O. &amp; Landin, J. (2002). </w:t>
      </w:r>
      <w:r>
        <w:rPr>
          <w:i/>
        </w:rPr>
        <w:t xml:space="preserve">Population structure and movements of a threatened butterfly (Lopinga achine) in a fragmented landscape in Sweden. </w:t>
      </w:r>
      <w:r>
        <w:t>Biological Conservation. 108, 361–369.</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