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584-2023 i Gotlands kommun</w:t>
      </w:r>
    </w:p>
    <w:p>
      <w:r>
        <w:t>Denna tillsynsbegäran behandlar höga naturvärden i avverkningsanmälan A 584-2023 i Gotlands kommun som inkom 2023-01-04 och omfattar 27,2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A 584-2023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6360043, E 701994 i SWEREF 99 TM.</w:t>
      </w:r>
    </w:p>
    <w:p>
      <w:r>
        <w:t>I och inom 22 meter från avverkningsanmälan finns fynd av 29 naturvårdsarter, varav 20 är rödlistade, 4 är fridlysta, 5 är typiska (T) och 6 är signalarter (S): blårödling (VU), duvspindling (VU), garderönn (VU, §7), granrotspindling (VU), gulsträngad fagerspindling (VU), svartgrön spindling (VU), violettfläckig spindling (VU), backtimjan (NT), barrviolspindling (NT), blå slemspindling (NT, T), denisespindling (NT), dårgräsfjäril (NT, §4a), flattoppad klubbsvamp (NT), jungfrulin (NT), kryddspindling (NT, T), odörspindling (NT), sandkremla (NT), solvända (NT), vippärt (NT, T), äggspindling (NT), anisspindling (S), fransig jordstjärna (S), olivspindling (S), rödgul trumpetsvamp (S), svavelriska (S), vågbandad barkbock (S), getrams (T), spillkråka (T,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Blårödling (VU)</w:t>
      </w:r>
      <w:r>
        <w:t xml:space="preserve"> lever främst i mager, ogödslad fodermark, som naturbetesmarker eller hackslått. Förekommer dessutom i ädellövskog och kalkskog på bar jord, och även i rikkärr. Arten är globalt rödlistad som sårbar (VU) vilket innebär att Sverige har ett internationellt ansvar för arten (SLU Artdatabanken, 2026; IUCN,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Sandkremla (NT) </w:t>
      </w:r>
      <w:r>
        <w:t>bildar mykorrhiza med tall, i tallskog på sanddyner och tallhedar på kalkrik mark. Knuten till en väl avgränsad och väl genomsökt miljö och växer huvudsakligen i äldre skogsbestånd. Total population i landet bedöms fortgående att minska p.g.a. avverkning av äldre kalktallskog. Tallskog på sandig mark hyser en rad ovanliga svamparter och det är angeläget att sådana skogar undantas från avverkning (SLU Artdatabanken, 2026).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Getrams</w:t>
      </w:r>
      <w:r>
        <w:t xml:space="preserve"> är typisk art för </w:t>
      </w:r>
      <w:r>
        <w:rPr>
          <w:i/>
        </w:rPr>
        <w:t>9190 Näringsfattig ekskog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kryddspindling (NT, T), vippärt (NT, T), getrams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