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6159-2023 i Gotlands kommun</w:t>
      </w:r>
    </w:p>
    <w:p>
      <w:r>
        <w:t>Denna tillsynsbegäran behandlar höga naturvärden i avverkningsanmälan A 6159-2023 i Gotlands kommun som inkom 2023-02-07 och omfattar 2,0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6159-2023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6418203, E 720434 i SWEREF 99 TM.</w:t>
      </w:r>
    </w:p>
    <w:p>
      <w:r>
        <w:t>I och inom 22 meter från avverkningsanmälan finns fynd av 26 naturvårdsarter, varav 20 är rödlistade, 1 är fridlyst, 7 är typiska (T) och 4 är signalarter (S): Coniocarpon fallax (CR), knölig taggsvamp (EN), duvspindling (VU), granrotspindling (VU), gul lammticka (VU), gulsträngad fagerspindling (VU), gyllenspindling (VU), svartgrön spindling (VU), trollspindling (VU), blek fingersvamp (NT), blå slemspindling (NT, T), dofttaggsvamp (NT, T), fjällig taggsvamp s.str. (NT), kryddspindling (NT, T), odörspindling (NT), orange taggsvamp (NT, T), rödfläckig zontaggsvamp (NT), svart taggsvamp (NT), vårärt (NT, T), äggspindling (NT), anisspindling (S), brandmusseron (S), fransig jordstjärna (S), olivspindling (S),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Coniocarpon fallax </w:t>
      </w:r>
      <w:r>
        <w:rPr>
          <w:b/>
        </w:rPr>
        <w:t>(CR)</w:t>
      </w:r>
      <w:r>
        <w:t xml:space="preserve"> förekommer på ask eller sällsynt på hassel. Askskottssjukan påverkar arten starkt negativt och Minskningstakten överstiger gränsvärdet för Akut hotad (CR) (SLU Artdatabanken, 2026).</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dofttaggsvamp (NT, T), kryddspindling (NT, T), orange taggsvamp (NT, T), vårärt (NT,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