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brun glada (EN, §4), granrotsspindling (VU), läderdoftande fingersvamp (VU), narrspindling (VU), svartgrön spindling (VU), violettfläckig spindling (VU), apollofjäril (NT, §4a), axveronika (NT), backtimjan (NT), fyrflikig jordstjärna (NT), havsörn (NT, §4), jordtistel (NT), mindre hackspett (NT, §4), odörspindling (NT), reliktbock (NT), solvända (NT), spillkråka (NT, §4), svartfläckig blåvinge (NT, §4a), anisspindling (S), blå slemspindling (S), fjällig taggsvamp s.str. (S), fransig jordstjärna (S), grovticka (S), grönpyrola (S), kamjordstjärna (S), nästrot (S, §8), purpurknipprot (S, §8), rödbrun jordstjärna (S), skarp dropptaggsvamp (S), skogsknipprot (S, §8), svavelriska (S), toppvaxing (S), brudsporre (§8), grönvit nattviol (§8), nattviol (§8),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brun glada (EN, §4), apollofjäril (NT, §4a), havsörn (NT, §4), mindre hackspett (NT, §4), spillkråka (NT, §4), svartfläckig blåvinge (NT, §4a), nästrot (S, §8), purpurknipprot (S, §8), skogsknipprot (S, §8), brudsporre (§8), grönvit nattviol (§8), nattviol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