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11176-2024 i Gotlands kommun</w:t>
      </w:r>
    </w:p>
    <w:p>
      <w:r>
        <w:t>Denna tillsynsbegäran behandlar höga naturvärden i avverkningsanmälan A 11176-2024 i Gotlands kommun som inkom 2024-03-20 och omfattar 1,7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6367568, E 726813 i SWEREF 99 TM.</w:t>
      </w:r>
    </w:p>
    <w:p>
      <w:r>
        <w:t>I och inom 24 meter från avverkningsanmälan finns fynd av 14 naturvårdsarter, varav 10 är rödlistade, 1 är typisk (T) och 4 är signalarter (S): granrotspindling (VU), gul lammticka (VU), gulsträngad fagerspindling (VU), svartgrön spindling (VU), tvillingspindling (VU), violettfläckig spindling (VU), vit taggsvamp (VU), bittermusseron (NT), blå slemspindling (NT, T), odörspindling (NT), anisspindling (S), olivspindling (S), rödbrun jordstjärna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