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1477-2024 i Gotlands kommun</w:t>
      </w:r>
    </w:p>
    <w:p>
      <w:r>
        <w:t>Detta klagomål behandlar höga naturvärden i avverkningsanmälan A 1477-2024 i Gotlands kommun som inkom 2024-01-14 och omfattar 6,9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1477-2024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6416533, E 721375 i SWEREF 99 TM.</w:t>
      </w:r>
    </w:p>
    <w:p>
      <w:r>
        <w:t>I och inom 14 meter från avverkningsanmälan finns fynd av 21 naturvårdsarter, varav 12 är rödlistade, 5 är fridlysta, 7 är typiska (T) och 7 är signalarter (S): ask (EN), fågelträcksspindling (VU), granrotspindling (VU), igelkott (VU), knärot (VU, T, §8), svartgrön spindling (VU), vit taggsvamp (VU), backtimjan (NT), blå slemspindling (NT, T), flattoppad klubbsvamp (NT), odörspindling (NT), sårläka (NT, T), anisspindling (S), diskvaxskivling (S), grönpyrola (S, T), nästrot (S, §8), purpurknipprot (S, §8), skogsknipprot (S, T, §8), svavelriska (S), kransmossa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Fågelträcksspindling (VU) </w:t>
      </w:r>
      <w:r>
        <w:t>bildar mykorrhiza med tall och/eller gran i luckig och ljusöppen talldominerad kalkbarrskog. Huvudsakliga andelen av landets population finns på Gotland och i Uppland. Den totala populationen i landet bedöms ha minskat och förväntas fortsätta minska på grund av slutavverkning av äldre kalkbarrskog och kontinuitetsskog. Minskningstakten uppgår till 30 (15–50) % inom 50 år och överstiger gränsvärdet för Sårbar (VU) (SLU Artdatabanken, 2026).</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983009"/>
            <wp:docPr id="2" name="Picture 2"/>
            <wp:cNvGraphicFramePr>
              <a:graphicFrameLocks noChangeAspect="1"/>
            </wp:cNvGraphicFramePr>
            <a:graphic>
              <a:graphicData uri="http://schemas.openxmlformats.org/drawingml/2006/picture">
                <pic:pic>
                  <pic:nvPicPr>
                    <pic:cNvPr id="0" name="A 1477-2024 karta knärot.png"/>
                    <pic:cNvPicPr/>
                  </pic:nvPicPr>
                  <pic:blipFill>
                    <a:blip r:embed="rId17"/>
                    <a:stretch>
                      <a:fillRect/>
                    </a:stretch>
                  </pic:blipFill>
                  <pic:spPr>
                    <a:xfrm>
                      <a:off x="0" y="0"/>
                      <a:ext cx="5486400" cy="49830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6416533, E 721375 i SWEREF 99 TM.</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