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15850-2025 i Gotlands kommun</w:t>
      </w:r>
    </w:p>
    <w:p>
      <w:r>
        <w:t>Detta klagomål behandlar höga naturvärden i avverkningsanmälan A 15850-2025 i Gotlands kommun som inkom 2025-04-01 och omfattar 5,1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15850-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6364975, E 697038 i SWEREF 99 TM.</w:t>
      </w:r>
    </w:p>
    <w:p>
      <w:r>
        <w:t>I och inom 24 meter från avverkningsanmälan finns fynd av 21 naturvårdsarter, varav 14 är rödlistade, 6 är fridlysta, 5 är typiska (T) och 5 är signalarter (S): granrotspindling (VU), gulsträngad fagerspindling (VU), narrspindling (VU), trollspindling (VU), tvillingspindling (VU), violettfläckig spindling (VU), backtimjan (NT), blå slemspindling (NT, T), denisespindling (NT), dårgräsfjäril (NT, §4a), gulsparv (NT, §4), jordtistel (NT), odörspindling (NT), svinrot (NT), anisspindling (S), grönpyrola (S, T), mindre märgborre (S, T), nästrot (S, §8), skogsknipprot (S, T, §8), spillkråka (T, §4)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