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43197-2023 i Gotlands kommun</w:t>
      </w:r>
    </w:p>
    <w:p>
      <w:r>
        <w:t>Detta klagomål behandlar höga naturvärden i avverkningsanmälan A 43197-2023 i Gotlands kommun som inkom 2023-09-14 och omfattar 3,7 ha.</w:t>
      </w:r>
    </w:p>
    <w:p>
      <w:pPr>
        <w:pStyle w:val="Caption"/>
      </w:pPr>
      <w:r>
        <w:drawing>
          <wp:inline xmlns:a="http://schemas.openxmlformats.org/drawingml/2006/main" xmlns:pic="http://schemas.openxmlformats.org/drawingml/2006/picture">
            <wp:extent cx="5486400" cy="4196813"/>
            <wp:docPr id="1" name="Picture 1"/>
            <wp:cNvGraphicFramePr>
              <a:graphicFrameLocks noChangeAspect="1"/>
            </wp:cNvGraphicFramePr>
            <a:graphic>
              <a:graphicData uri="http://schemas.openxmlformats.org/drawingml/2006/picture">
                <pic:pic>
                  <pic:nvPicPr>
                    <pic:cNvPr id="0" name="A 43197-2023 karta.png"/>
                    <pic:cNvPicPr/>
                  </pic:nvPicPr>
                  <pic:blipFill>
                    <a:blip r:embed="rId16"/>
                    <a:stretch>
                      <a:fillRect/>
                    </a:stretch>
                  </pic:blipFill>
                  <pic:spPr>
                    <a:xfrm>
                      <a:off x="0" y="0"/>
                      <a:ext cx="5486400" cy="4196813"/>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6399475, E 709083 i SWEREF 99 TM.</w:t>
      </w:r>
    </w:p>
    <w:p>
      <w:r>
        <w:t>I och inom 13 meter från avverkningsanmälan finns fynd av 5 naturvårdsarter, varav 3 är rödlistade, 2 är fridlysta, 1 är typisk (T) och 1 är signalart (S): ask (EN), allékantlav (VU), svinrot (NT), skogsknipprot (S, T,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Allékantlav (VU)</w:t>
      </w:r>
      <w:r>
        <w:t xml:space="preserve"> är en skorplav som i norra Sverige växer på asp i barrskogar med hög luftfuktighet. I södra Sverige växer den på grova ädellövträd (oftast ask och alm) i ängs- och hagmark, i alléer, parker och på kyrkogårdar. Växtplatserna är öppna till halvöppna och ofta dammimpregnerade av en grusväg eller åker i närheten. I norra Sverige är avverkning av lövrika barrskogar och att det nyskapas få lövbrännor de största hoten. I södra och mellersta Sverige är det viktigt att nya lämpliga träd nyskapas i närheten av förekomster. Vidare bör dammimpregnering bibehållas om en sådan finns. I norra Sverige bör ett antal lokaler skyddas och avverkning av lövrika barrskogar undvikas (SLU Artdatabanken, 2025).</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