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44117-2026 i Gotlands kommun</w:t>
      </w:r>
    </w:p>
    <w:p>
      <w:r>
        <w:t>Detta klagomål behandlar höga naturvärden i avverkningsanmälan A 44117-2026 i Gotlands kommun som inkom 2026-10-23 och omfattar 16,3 ha.</w:t>
      </w:r>
    </w:p>
    <w:p>
      <w:pPr>
        <w:pStyle w:val="Caption"/>
      </w:pPr>
      <w:r>
        <w:drawing>
          <wp:inline xmlns:a="http://schemas.openxmlformats.org/drawingml/2006/main" xmlns:pic="http://schemas.openxmlformats.org/drawingml/2006/picture">
            <wp:extent cx="5486400" cy="5607063"/>
            <wp:docPr id="1" name="Picture 1"/>
            <wp:cNvGraphicFramePr>
              <a:graphicFrameLocks noChangeAspect="1"/>
            </wp:cNvGraphicFramePr>
            <a:graphic>
              <a:graphicData uri="http://schemas.openxmlformats.org/drawingml/2006/picture">
                <pic:pic>
                  <pic:nvPicPr>
                    <pic:cNvPr id="0" name="A 44117-2026 karta.png"/>
                    <pic:cNvPicPr/>
                  </pic:nvPicPr>
                  <pic:blipFill>
                    <a:blip r:embed="rId16"/>
                    <a:stretch>
                      <a:fillRect/>
                    </a:stretch>
                  </pic:blipFill>
                  <pic:spPr>
                    <a:xfrm>
                      <a:off x="0" y="0"/>
                      <a:ext cx="5486400" cy="560706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6378749, E 725147 i SWEREF 99 TM.</w:t>
      </w:r>
    </w:p>
    <w:p>
      <w:r>
        <w:t>I avverkningsanmälan finns fynd av 10 naturvårdsarter, varav 5 är rödlistade, 5 är fridlysta, 3 är typiska (T) och 4 är signalarter (S): honungsblomster (VU, §8), ryl (VU, T), blå slemspindling (NT, T), jordtistel (NT), odörspindling (NT), flugblomster (S, §8), nästrot (S, §8), rödgul trumpetsvamp (S), skogsknipprot (S, T, §8)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Ryl (VU)</w:t>
      </w:r>
      <w:r>
        <w:t xml:space="preserve"> påträffas i gamla ljusöppna barrskogar, främst tallskogar på väldränerade och kalkrika jordar med tunna humuslager. Vid skogsbruk måste man ta hänsyn till arten och lokaler bör undantas från kalavverkning, markberedning och skogsgödsling. På lokaler med riklig förekomst av ryl kan den sällsynta bladparasiten rylprick (EN)</w:t>
      </w:r>
      <w:r>
        <w:rPr>
          <w:i/>
        </w:rPr>
        <w:t xml:space="preserve"> </w:t>
      </w:r>
      <w:r>
        <w:t xml:space="preserve">påträffas. Parasiten bildar små svarta prickar på rylens blad. Ryl är typisk art för </w:t>
      </w:r>
      <w:r>
        <w:rPr>
          <w:i/>
        </w:rPr>
        <w:t xml:space="preserve">9010 Taiga </w:t>
      </w:r>
      <w:r>
        <w:t>och</w:t>
      </w:r>
      <w:r>
        <w:rPr>
          <w:i/>
        </w:rPr>
        <w:t xml:space="preserve"> 2180 Trädklädda dyner</w:t>
      </w:r>
      <w:r>
        <w:t xml:space="preserve"> (SLU Artdatabanken, 2026; Nitare &amp; Skogsstyrelsen, 2019).</w:t>
      </w:r>
    </w:p>
    <w:p>
      <w:r>
        <w:rPr>
          <w:b/>
        </w:rPr>
        <w:t>Blå slemspindling (NT)</w:t>
      </w:r>
      <w:r>
        <w:t xml:space="preserve"> är en mykorrhizasvamp som förekommer i kalkgranskogar med välutvecklade mossmattor och ett örtrikt fältskikt. Den växer även på rik mark i ädellövskog under bok, ek. lind och hassel. Växtplatserna har ofta hög luftfuktighet och ligger gärna i anslutning till en bäck eller ett fuktdråg där marken inte blir helt uttorkad under sommaren. Arten signalerar höga naturvärden och växer ofta tillsammans med många andra ovanliga och rödlistade arter. Den totala populationen i landet bedöms ha minskat och väntas fortsätta minska, främst till följd av avverkning av kalkbarrskogar. Blå slemspindling är typisk art för </w:t>
      </w:r>
      <w:r>
        <w:rPr>
          <w:i/>
        </w:rPr>
        <w:t xml:space="preserve">9050 Näringsrik granskog </w:t>
      </w:r>
      <w:r>
        <w:t>(SLU Artdatabanken, 2026; Nitare &amp; Skogsstyrelsen, 2019).</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Skogsknipprot (§8)</w:t>
      </w:r>
      <w:r>
        <w:t xml:space="preserve"> är fridlyst enligt 8§ artskyddsförordningen och typisk art för </w:t>
      </w:r>
      <w:r>
        <w:rPr>
          <w:i/>
        </w:rPr>
        <w:t>9050 Näringsrik granskog</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