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26 naturvårdsarter, varav 20 är rödlistade, 1 är fridlyst, 7 är typiska (T) och 4 är signalarter (S): Coniocarpon fallax (CR), knölig taggsvamp (EN), duvspindling (VU), granrotspindling (VU), gul lammticka (VU), gulsträngad fagerspindling (VU), gyllenspindling (VU), svartgrön spindling (VU), trollspindling (VU), blek fingersvamp (NT), blå slemspindling (NT, T), dofttaggsvamp (NT, T), fjällig taggsvamp s.str. (NT), kryddspindling (NT, T), odörspindling (NT), orange taggsvamp (NT, T), rödfläckig zontaggsvamp (NT), svart taggsvamp (NT), vårärt (NT, T), äggspindling (NT), anisspindling (S), brandmusseron (S), fransig jordstjärna (S), olivspindling (S),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