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30892-2024 i Gotlands kommun</w:t>
      </w:r>
    </w:p>
    <w:p>
      <w:r>
        <w:t>Denna tillsynsbegäran behandlar höga naturvärden i avverkningsanmälan A 30892-2024 i Gotlands kommun som inkom 2024-07-18 och omfattar 6,1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6356922, E 696055 i SWEREF 99 TM.</w:t>
      </w:r>
    </w:p>
    <w:p>
      <w:r>
        <w:t>I och inom 24 meter från avverkningsanmälan finns fynd av 10 naturvårdsarter, varav 6 är rödlistade, 1 är typisk (T) och 3 är signalarter (S): blårödling (VU), gulsträngad fagerspindling (VU), svartgrön spindling (VU), trollspindling (VU), flattoppad klubbsvamp (NT), odörspindling (NT), anisspindling (S), rödgul trumpetsvamp (S), svavelriska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Blårödling (VU)</w:t>
      </w:r>
      <w:r>
        <w:t xml:space="preserve"> lever främst i mager, ogödslad fodermark, som naturbetesmarker eller hackslått. Förekommer dessutom i ädellövskog och kalkskog på bar jord, och även i rikkärr. Arten är globalt rödlistad som sårbar (VU) vilket innebär att Sverige har ett internationellt ansvar för arten (SLU Artdatabanken, 2026; IUCN,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