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7837-2024 i Gotlands kommun</w:t>
      </w:r>
    </w:p>
    <w:p>
      <w:r>
        <w:t>Denna tillsynsbegäran behandlar höga naturvärden i avverkningsanmälan A 7837-2024 i Gotlands kommun som inkom 2024-02-27 och omfattar 5,0 ha.</w:t>
      </w:r>
    </w:p>
    <w:p>
      <w:pPr>
        <w:pStyle w:val="Caption"/>
      </w:pPr>
      <w:r>
        <w:drawing>
          <wp:inline xmlns:a="http://schemas.openxmlformats.org/drawingml/2006/main" xmlns:pic="http://schemas.openxmlformats.org/drawingml/2006/picture">
            <wp:extent cx="5486400" cy="4268830"/>
            <wp:docPr id="1" name="Picture 1"/>
            <wp:cNvGraphicFramePr>
              <a:graphicFrameLocks noChangeAspect="1"/>
            </wp:cNvGraphicFramePr>
            <a:graphic>
              <a:graphicData uri="http://schemas.openxmlformats.org/drawingml/2006/picture">
                <pic:pic>
                  <pic:nvPicPr>
                    <pic:cNvPr id="0" name="A 7837-2024 karta.png"/>
                    <pic:cNvPicPr/>
                  </pic:nvPicPr>
                  <pic:blipFill>
                    <a:blip r:embed="rId16"/>
                    <a:stretch>
                      <a:fillRect/>
                    </a:stretch>
                  </pic:blipFill>
                  <pic:spPr>
                    <a:xfrm>
                      <a:off x="0" y="0"/>
                      <a:ext cx="5486400" cy="426883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6416320, E 721344 i SWEREF 99 TM.</w:t>
      </w:r>
    </w:p>
    <w:p>
      <w:r>
        <w:t>I och inom 15 meter från avverkningsanmälan finns fynd av 18 naturvårdsarter, varav 13 är rödlistade, 1 är fridlyst, 3 är typiska (T) och 4 är signalarter (S): fågelträcksspindling (VU), granrotspindling (VU), gul lammticka (VU), gulsträngad fagerspindling (VU), trollspindling (VU), vit taggsvamp (VU), backtimjan (NT), blå slemspindling (NT, T), fjällig taggsvamp s.str. (NT), flattoppad klubbsvamp (NT), gammelgransskål (NT, T), odörspindling (NT), svart taggsvamp (NT), anisspindling (S), diskvaxskivling (S), fransig jordstjärna (S), svavelriska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Fågelträcksspindling (VU) </w:t>
      </w:r>
      <w:r>
        <w:t>bildar mykorrhiza med 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 Minskningstakten uppgår till 30 (15–50) % inom 50 år och överstiger gränsvärdet för Sårbar (VU) (SLU Artdatabanken, 2026).</w:t>
      </w:r>
    </w:p>
    <w:p>
      <w:r>
        <w:rPr>
          <w:b/>
        </w:rPr>
        <w:t xml:space="preserve">Granrotspindling (VU) </w:t>
      </w:r>
      <w:r>
        <w:t>bildar mykorrhiza med gran. Växer i djup barrförna, gärna i gamla myrstackar, i medelålders till äldre ängsgranskog på kalkrik mark.</w:t>
      </w:r>
      <w:r>
        <w:rPr>
          <w:b/>
        </w:rPr>
        <w:t xml:space="preserve"> </w:t>
      </w:r>
      <w:r>
        <w:t>Minskningstakten uppgår till 30 % inom 50 år och överstiger gränsvärdet för Sårbar (VU) enligt A-kriteriet. (A2c+3c+4c). Arten missgynnas av avverkning och markberedning. Generellt bör lokaler som är särskilt rika på förekomster av sällsynta svampar säkerställas och lämnas för fri utveckling (SLU Artdatabanken, 2024).</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Vit taggsvamp (VU) </w:t>
      </w:r>
      <w:r>
        <w:t>bildar mykorrhiza med gran och tall i äldre ängsgranskog och hällmarksbarrskog på kalkrik mark. Kända aktuella lokaler finns endast på Gotland. Det främsta hotet mot arten är avverkning av dess värdträd gran och tall och kända lokaler bör undantas från avverkning för att säkra att dessa hålls intakta (SLU Artdatabanken, 2024).</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