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24575-2025 i Gotlands kommun</w:t>
      </w:r>
    </w:p>
    <w:p>
      <w:r>
        <w:t>Detta klagomål behandlar höga naturvärden i avverkningsanmälan A 24575-2025 i Gotlands kommun som inkom 2025-05-21 och omfattar 6,7 ha.</w:t>
      </w:r>
    </w:p>
    <w:p>
      <w:pPr>
        <w:pStyle w:val="Caption"/>
      </w:pPr>
      <w:r>
        <w:drawing>
          <wp:inline xmlns:a="http://schemas.openxmlformats.org/drawingml/2006/main" xmlns:pic="http://schemas.openxmlformats.org/drawingml/2006/picture">
            <wp:extent cx="5486400" cy="3137240"/>
            <wp:docPr id="1" name="Picture 1"/>
            <wp:cNvGraphicFramePr>
              <a:graphicFrameLocks noChangeAspect="1"/>
            </wp:cNvGraphicFramePr>
            <a:graphic>
              <a:graphicData uri="http://schemas.openxmlformats.org/drawingml/2006/picture">
                <pic:pic>
                  <pic:nvPicPr>
                    <pic:cNvPr id="0" name="A 24575-2025 karta.png"/>
                    <pic:cNvPicPr/>
                  </pic:nvPicPr>
                  <pic:blipFill>
                    <a:blip r:embed="rId16"/>
                    <a:stretch>
                      <a:fillRect/>
                    </a:stretch>
                  </pic:blipFill>
                  <pic:spPr>
                    <a:xfrm>
                      <a:off x="0" y="0"/>
                      <a:ext cx="5486400" cy="313724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6380807, E 723254 i SWEREF 99 TM.</w:t>
      </w:r>
    </w:p>
    <w:p>
      <w:r>
        <w:t>I och inom 24 meter från avverkningsanmälan finns fynd av 22 naturvårdsarter, varav 12 är rödlistade, 10 är fridlysta, 7 är typiska (T) och 5 är signalarter (S): ask (EN), knärot (VU, T, §8), axveronika (NT), backtimjan (NT), dårgräsfjäril (NT, §4a), jordtistel (NT), månlåsbräken (NT), reliktbock (NT, T), solvända (NT), svinrot (NT), sårläka (NT, T), ängsstarr (NT), grönpyrola (S, T), nästrot (S, §8), skogsknipprot (S, T, §8), tvåblad (S, §8), vit skogslilja (S, §8), ormbär (T), spillkråka (T, §4), fläcknycklar (§8), nattviol (§8) och sankt pers 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1.41 ha med buffertzonerna och får av detta skäl inte avverkas.</w:t>
      </w:r>
    </w:p>
    <w:p>
      <w:pPr>
        <w:pStyle w:val="Caption"/>
      </w:pPr>
      <w:r>
        <w:drawing>
          <wp:inline xmlns:a="http://schemas.openxmlformats.org/drawingml/2006/main" xmlns:pic="http://schemas.openxmlformats.org/drawingml/2006/picture">
            <wp:extent cx="5486400" cy="2762054"/>
            <wp:docPr id="2" name="Picture 2"/>
            <wp:cNvGraphicFramePr>
              <a:graphicFrameLocks noChangeAspect="1"/>
            </wp:cNvGraphicFramePr>
            <a:graphic>
              <a:graphicData uri="http://schemas.openxmlformats.org/drawingml/2006/picture">
                <pic:pic>
                  <pic:nvPicPr>
                    <pic:cNvPr id="0" name="A 24575-2025 karta knärot.png"/>
                    <pic:cNvPicPr/>
                  </pic:nvPicPr>
                  <pic:blipFill>
                    <a:blip r:embed="rId17"/>
                    <a:stretch>
                      <a:fillRect/>
                    </a:stretch>
                  </pic:blipFill>
                  <pic:spPr>
                    <a:xfrm>
                      <a:off x="0" y="0"/>
                      <a:ext cx="5486400" cy="276205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6380807, E 723254 i SWEREF 99 TM.</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