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18541-2024 i Gotlands kommun</w:t>
      </w:r>
    </w:p>
    <w:p>
      <w:r>
        <w:t>Denna tillsynsbegäran behandlar höga naturvärden i avverkningsanmälan A 18541-2024 i Gotlands kommun som inkom 2024-05-13 och omfattar 2,2 ha.</w:t>
      </w:r>
    </w:p>
    <w:p>
      <w:pPr>
        <w:pStyle w:val="Caption"/>
      </w:pPr>
      <w:r>
        <w:drawing>
          <wp:inline xmlns:a="http://schemas.openxmlformats.org/drawingml/2006/main" xmlns:pic="http://schemas.openxmlformats.org/drawingml/2006/picture">
            <wp:extent cx="5292927" cy="5724000"/>
            <wp:docPr id="1" name="Picture 1"/>
            <wp:cNvGraphicFramePr>
              <a:graphicFrameLocks noChangeAspect="1"/>
            </wp:cNvGraphicFramePr>
            <a:graphic>
              <a:graphicData uri="http://schemas.openxmlformats.org/drawingml/2006/picture">
                <pic:pic>
                  <pic:nvPicPr>
                    <pic:cNvPr id="0" name="A 18541-2024 karta.png"/>
                    <pic:cNvPicPr/>
                  </pic:nvPicPr>
                  <pic:blipFill>
                    <a:blip r:embed="rId16"/>
                    <a:stretch>
                      <a:fillRect/>
                    </a:stretch>
                  </pic:blipFill>
                  <pic:spPr>
                    <a:xfrm>
                      <a:off x="0" y="0"/>
                      <a:ext cx="5292927" cy="5724000"/>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6360686, E 698150 i SWEREF 99 TM.</w:t>
      </w:r>
    </w:p>
    <w:p>
      <w:r>
        <w:t>I och inom 14 meter från avverkningsanmälan finns fynd av 10 naturvårdsarter, varav 5 är rödlistade, 7 är fridlysta och 2 är signalarter (S): garderönn (VU, §7), backtimjan (NT), dårgräsfjäril (NT, §4a), solvända (NT), svinrot (NT), nästrot (S, §8), tvåblad (S, §8), kungsfågel (§4), skogsduva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Garderönn (VU, §7)</w:t>
      </w:r>
      <w:r>
        <w:t xml:space="preserve"> är strikt skyddad enligt §7 Artskyddsförordningen (bilaga 1) vilket innebär att hela dess livsmiljö ska bevaras. Den är enbart är känd från ett mindre område på östra Gotland där den växer i gles kalktallskog och på kalkhällar. Arten hotas genom sin lilla population. Markägare och verksamma inom skogsnäringen inom det område där garderönnen växer måste lära sig känna igen denna strikt skyddade art, för att undvika att skada den av misstag. Garderönn är globalt rödlistad som sårbar (VU) vilket innebär att Sverige har ett internationellt ansvar för arten (SLU Artdatabanken, 2026; IUCN, 2021).</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