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27759-2026 i Gotlands kommun</w:t>
      </w:r>
    </w:p>
    <w:p>
      <w:r>
        <w:t>Denna tillsynsbegäran behandlar höga naturvärden i avverkningsanmälan A 27759-2026 i Gotlands kommun som inkom 2026-06-18 och omfattar 12,1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775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6394935, E 719516 i SWEREF 99 TM.</w:t>
      </w:r>
    </w:p>
    <w:p>
      <w:r>
        <w:t>I och inom 18 meter från avverkningsanmälan finns fynd av 28 naturvårdsarter, varav 12 är rödlistade, 8 är fridlysta, 11 är typiska (T) och 9 är signalarter (S): cinnoberfläck (CR), Coniocarpon fallax (CR), ask (EN), lundalm (EN), aspfjädermossa (VU, T), mörk kraterlav (VU), tvådoftspindling (VU), ädellav (VU, T), odörspindling (NT), svinrot (NT), sårläka (NT, T), vårärt (NT, T), anisspindling (S), havstulpanlav (S, T), korallblylav (S, T), murgröna (S, T), Pluteus cyanopus (S), rikfruktig blemlav (S), skogsknipprot (S, T, §8), tvåblad (S, §8), underviol (S, T), ormbär (T), spillkråka (T, §4), kråka (§4), skogsduva (§4),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Cinnoberfläck CR)</w:t>
      </w:r>
      <w:r>
        <w:t xml:space="preserve"> är en akut hotad art som förekommer på ask eller sällsynt på hassel, även uppe i kronor på hamlade träd. Lokalerna har oftast hög markfuktighet och är oftast relativt skuggiga. Fynd har gjorts i sumpskog och igenväxta lövskogar eller lövängar. Askskottssjukan påverkar arten starkt negativt. Skogsbruk bör undvikas (SLU Artdatabanken, 2026).</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ädellav (VU, T), sårläka (NT, T), vårärt (NT, T), havstulpanlav (S, T), korallblylav (S, T), murgröna (S, T), skogsknipprot (S, T, §8), underviol (S,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