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530-2024 i Gotlands kommun</w:t>
      </w:r>
    </w:p>
    <w:p>
      <w:r>
        <w:t>Detta dokument behandlar höga naturvärden i avverkningsanmälan A 530-2024 i Gotlands kommun. Denna avverkningsanmälan inkom 2024-01-08 och omfattar 6,5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ask (EN), granrotsspindling (VU), klenodspindling (VU), mörkfjällig olivspindling (VU), odörspindling (NT), svinrot (NT), äggspindling (NT), blå slemspindling (S), fjällig taggsvamp s.str. (S), nästrot (S, §8), olivspindling (S), skarp dropptaggsvamp (S), tvåblad (S, §8), grönsiska (§4), halsbandsflugsnappare (§4), fläcknycklar (§8), nattviol (§8)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0852"/>
            <wp:docPr id="1" name="Picture 1"/>
            <wp:cNvGraphicFramePr>
              <a:graphicFrameLocks noChangeAspect="1"/>
            </wp:cNvGraphicFramePr>
            <a:graphic>
              <a:graphicData uri="http://schemas.openxmlformats.org/drawingml/2006/picture">
                <pic:pic>
                  <pic:nvPicPr>
                    <pic:cNvPr id="0" name="A 530-2024 karta.png"/>
                    <pic:cNvPicPr/>
                  </pic:nvPicPr>
                  <pic:blipFill>
                    <a:blip r:embed="rId16"/>
                    <a:stretch>
                      <a:fillRect/>
                    </a:stretch>
                  </pic:blipFill>
                  <pic:spPr>
                    <a:xfrm>
                      <a:off x="0" y="0"/>
                      <a:ext cx="5486400" cy="5610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6408257, E 727915 i SWEREF 99 TM.</w:t>
      </w:r>
    </w:p>
    <w:p>
      <w:r>
        <w:rPr>
          <w:b/>
        </w:rPr>
        <w:t xml:space="preserve">Granrotsspindling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Klenodspindling (VU)</w:t>
      </w:r>
      <w:r>
        <w:t>, som bildar mykorrhiza med tall och/eller gran i luckig barrskog på kalkrik mark, är en av Europas sällsyntaste spindelskivlingar och i norra Europa är svampen bara känd från Gotland. Arten är placerad högst upp i Skogsstyrelsens värdepyramid för bedömning av skog med höga naturvärden och växtplatserna utgör ofta ”hotspots” med en koncentration av andra sällsynta och hotade mykorrhizasvampar med liknande miljökrav. Arten hotas av avverkningar och kända fyndlokaler behöver områdesskydd, en nödvändighet och förutsättning för artens framtida fortbestånd i Norra Europa. Sverige (och Gotland) har ett stort internationellt ansvar för att denna sällsynta art bevaras på sina få kända växtplatser (SLU Artdatabanken, 2024; Nitare &amp; Skogsstyrelsen, 2019).</w:t>
      </w:r>
    </w:p>
    <w:p>
      <w:r>
        <w:rPr>
          <w:b/>
        </w:rPr>
        <w:t>Mörkfjällig olivspindling (VU)</w:t>
      </w:r>
      <w:r>
        <w:t xml:space="preserve"> är en mycket kräsen art som bara förekommer i vissa betespräglade kalktallskogar med långvarig tallkontinuitet samt i exklusiva ädellövskogar på kalk. Arten får betraktas som en ”toppart” som indikerar starkt skyddsvärda skogsområden och den är placerad högst upp i Skogsstyrelsens värdepyramid för bedömning av skog med höga naturvärden. Minskningstakten har uppgått till 30 % under de senaste 50 åren och överstiger gränsvärdet för Sårbar (VU) (SLU Artdatabanken, 2024;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pPr>
        <w:pStyle w:val="Heading1"/>
      </w:pPr>
      <w:r>
        <w:t>Fridlysta arter</w:t>
      </w:r>
    </w:p>
    <w:p>
      <w:r>
        <w:t>Följande fridlysta arter har sina livsmiljöer och växtplatser i den avverkningsanmälda skogen: nästrot (S, §8), tvåblad (S, §8), grönsiska (§4), halsbandsflugsnappare (§4), fläcknycklar (§8), nattviol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