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20 meter från avverkningsanmälan finns fynd av 14 naturvårdsarter, varav 10 är rödlistade, 2 är fridlysta, 2 är typiska (T) och 3 är signalarter (S): bitter taggsvamp (EN), sienamusseron (EN), fläckfingersvamp (VU), granrotspindling (VU), violettfläckig spindling (VU), blå slemspindling (NT, T), denisespindling (NT), duvhök (NT, §4), odörspindling (NT), tjockfotad fingersvamp (NT), anisspindling (S), blomkålssvamp (S),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