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44327"/>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443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20 meter från avverkningsanmälan finns fynd av 14 naturvårdsarter, varav 10 är rödlistade, 2 är fridlysta, 2 är typiska (T) och 3 är signalarter (S): bitter taggsvamp (EN), sienamusseron (EN), fläckfingersvamp (VU), granrotspindling (VU), violettfläckig spindling (VU), blå slemspindling (NT, T), denisespindling (NT), duvhök (NT, §4), odörspindling (NT), tjockfotad fingersvamp (NT), anisspindling (S), blomkålssvamp (S), olivspindling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