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6839-2026 i Gotlands kommun</w:t>
      </w:r>
    </w:p>
    <w:p>
      <w:r>
        <w:t>Detta dokument behandlar höga naturvärden i avverkningsanmälan A 6839-2026 i Gotlands kommun. Denna avverkningsanmälan inkom 2026-02-04 09:53:11 och omfattar 4,9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mörk kraterlav (VU), skogskorn (VU), ekvaxskivling (NT), mjölmusseron (NT) och besk kastanjemusseron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0329"/>
            <wp:docPr id="1" name="Picture 1"/>
            <wp:cNvGraphicFramePr>
              <a:graphicFrameLocks noChangeAspect="1"/>
            </wp:cNvGraphicFramePr>
            <a:graphic>
              <a:graphicData uri="http://schemas.openxmlformats.org/drawingml/2006/picture">
                <pic:pic>
                  <pic:nvPicPr>
                    <pic:cNvPr id="0" name="A 6839-2026 karta.png"/>
                    <pic:cNvPicPr/>
                  </pic:nvPicPr>
                  <pic:blipFill>
                    <a:blip r:embed="rId16"/>
                    <a:stretch>
                      <a:fillRect/>
                    </a:stretch>
                  </pic:blipFill>
                  <pic:spPr>
                    <a:xfrm>
                      <a:off x="0" y="0"/>
                      <a:ext cx="5486400" cy="47503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6391314, E 719686 i SWEREF 99 TM.</w:t>
      </w:r>
    </w:p>
    <w:p>
      <w:r>
        <w:rPr>
          <w:b/>
        </w:rPr>
        <w:t>Ekvaxskivling (NT)</w:t>
      </w:r>
      <w:r>
        <w:t xml:space="preserve"> bildar mykorrhiza med ek i i kalk- och örtrika, helst betespräglad och luckig ekskog, blandskog, lövlund och hagmark. Svampen har en oangenäm lukt, en s.k.”cossus-lukt” som påminner om den hos större träfjäril.  Det främsta hotet är avverkning av artens värdträd och förändringar i dess skogsmiljö. Öppna och luckiga ekskogar och ekhagar där arten förekommer bör bevaras med fortsatt hävd (SLU Artdatabanken, 2024).</w:t>
      </w:r>
    </w:p>
    <w:p>
      <w:r>
        <w:rPr>
          <w:b/>
        </w:rPr>
        <w:t xml:space="preserve">Mjölmusseron (NT) </w:t>
      </w:r>
      <w:r>
        <w:t>bildar mykorrhiza med ek, i ljusöppen ekskog, betad hagmark och löväng på mullrik och kalkhaltig mark. Lokaler med förekomst av mjölmusseron bör i stort sett bevaras i oförändrat skick. Alltför kraftig gallring av ek eller plantering av barrskog bör inte få ske (SLU Artdatabanken, 2024).</w:t>
      </w:r>
    </w:p>
    <w:p>
      <w:r>
        <w:rPr>
          <w:b/>
        </w:rPr>
        <w:t>Mörk kraterlav (VU)</w:t>
      </w:r>
      <w:r>
        <w:t xml:space="preserve"> växer på grov bark av ädellövträd som bok, alm, ask, lönn och ek. Miljöerna varierar från slutna bokskogar och andra ädellövskogar till öppna lövängar, alléer och parkmiljöer. Arten påträffas ofta vid basen av träden, men den förekommer inte sällan även en bit upp på stammen. Miljöerna har lång kontinuitet på gamla träd och tillsammans med mörk kraterlav förekommer ofta andra rödlistade lavar (SLU Artdatabanken, 2024).</w:t>
      </w:r>
    </w:p>
    <w:p>
      <w:r>
        <w:rPr>
          <w:b/>
        </w:rPr>
        <w:t xml:space="preserve">Skogskorn (VU) </w:t>
      </w:r>
      <w:r>
        <w:t xml:space="preserve">är ett mycket sällsynt och värmeälskande lundgräs som växer på kalkhaltig mark i halvöppna ödellövskogar och extremrika kalkbarrskogar. Arten är placerad högst upp i Skogsstyrelsens värdepyramid för bedömning av skog med höga naturvärden. Dess växtplatser bör ej betas eller slutavverkas. Skogskorn är typisk art för </w:t>
      </w:r>
      <w:r>
        <w:rPr>
          <w:i/>
        </w:rPr>
        <w:t>9020 Nordlig ädellövskog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