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och inom 14 meter från avverkningsanmälan finns fynd av 16 naturvårdsarter, varav 10 är rödlistade, 3 är fridlysta, 4 är typiska (T) och 4 är signalarter (S): fågelträcksspindling (VU), granrotspindling (VU), igelkott (VU), svartgrön spindling (VU), vit taggsvamp (VU), backtimjan (NT), blå slemspindling (NT, T), flattoppad klubbsvamp (NT), odörspindling (NT), sårläka (NT, T), diskvaxskivling (S), nästrot (S, §8), purpurknipprot (S, §8), svavelriska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