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33728-2025 i Gotlands kommun</w:t>
      </w:r>
    </w:p>
    <w:p>
      <w:r>
        <w:t>Denna tillsynsbegäran behandlar höga naturvärden i avverkningsanmälan A 33728-2025 i Gotlands kommun som inkom 2025-07-04 och omfattar 9,5 ha.</w:t>
      </w:r>
    </w:p>
    <w:p>
      <w:pPr>
        <w:pStyle w:val="Caption"/>
      </w:pPr>
      <w:r>
        <w:drawing>
          <wp:inline xmlns:a="http://schemas.openxmlformats.org/drawingml/2006/main" xmlns:pic="http://schemas.openxmlformats.org/drawingml/2006/picture">
            <wp:extent cx="5486400" cy="4712345"/>
            <wp:docPr id="1" name="Picture 1"/>
            <wp:cNvGraphicFramePr>
              <a:graphicFrameLocks noChangeAspect="1"/>
            </wp:cNvGraphicFramePr>
            <a:graphic>
              <a:graphicData uri="http://schemas.openxmlformats.org/drawingml/2006/picture">
                <pic:pic>
                  <pic:nvPicPr>
                    <pic:cNvPr id="0" name="A 33728-2025 karta.png"/>
                    <pic:cNvPicPr/>
                  </pic:nvPicPr>
                  <pic:blipFill>
                    <a:blip r:embed="rId16"/>
                    <a:stretch>
                      <a:fillRect/>
                    </a:stretch>
                  </pic:blipFill>
                  <pic:spPr>
                    <a:xfrm>
                      <a:off x="0" y="0"/>
                      <a:ext cx="5486400" cy="471234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6396776, E 705397 i SWEREF 99 TM.</w:t>
      </w:r>
    </w:p>
    <w:p>
      <w:r>
        <w:t>I och inom 25 meter från avverkningsanmälan finns fynd av 37 naturvårdsarter, varav 28 är rödlistade, 5 är fridlysta, 3 är typiska (T) och 8 är signalarter (S): ask (EN), sienamusseron (EN), gotlandsmåra (VU), gotländsk haverrot (VU, §8), granrotspindling (VU), läderdoftande fingersvamp (VU), mörkfjällig olivspindling (VU), narrspindling (VU), rostspindling (VU), svartfläckig blåvinge (VU, §4a), svartgrön spindling (VU), violettfläckig spindling (VU), axveronika (NT), backtimjan (NT), barrviolspindling (NT), bittermusseron (NT), duvhök (NT, §4), fjällig taggsvamp s.str. (NT), flattoppad klubbsvamp (NT), jordtistel (NT), kryddspindling (NT, T), kungsspindling (NT), odörspindling (NT), rödfläckig zontaggsvamp (NT), skarp dropptaggsvamp (NT), solvända (NT), svinrot (NT), tjockfotad fingersvamp (NT), blomkålssvamp (S), kalktallört (S), olivspindling (S), rökmusseron (S), skogsknipprot (S, T, §8), strimspindling (S), svavelriska (S), trådticka (S, T) och grönsiska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Sienamusseron (EN)</w:t>
      </w:r>
      <w:r>
        <w:t xml:space="preserve"> är en mycket sällsynt och starkt hotad art som bildar mykorrhiza med tall i kalkbarrskog, ofta på något sandiga jordar. Det största enskilda hotet mot arten är slutavverkning av de skogsbestånd där den växer. Sienamusseronen omfattas av ett åtgärdsprogram för hotade arter (ÅGP) och är placerad högst upp i Skogsstyrelsens värdepyramid för bedömning av skog med höga naturvärden. Samtliga förekomster kan tolkas som relikter och varje lokal har mycket högt skyddsvärde (SLU Artdatabanken, 2024; Nitare &amp; Skogsstyrelsen, 2019; Johansson &amp; Bohus-Jensen, 2011).</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Mörkfjällig olivspindling (VU)</w:t>
      </w:r>
      <w:r>
        <w:t xml:space="preserve"> är en mycket kräsen art som bara förekommer i vissa betespräglade kalktallskogar med långvarig tallkontinuitet samt i exklusiva ädellövskogar på kalk. Arten får betraktas som en ”toppart” som indikerar starkt skyddsvärda skogsområden och den är placerad högst upp i Skogsstyrelsens värdepyramid för bedömning av skog med höga naturvärden. Minskningstakten har uppgått till 30 % under de senaste 50 åren och överstiger gränsvärdet för Sårbar (VU) (SLU Artdatabanken, 2024; Nitare &amp; Skogsstyrelsen, 2019).</w:t>
      </w:r>
    </w:p>
    <w:p>
      <w:r>
        <w:rPr>
          <w:b/>
        </w:rPr>
        <w:t>Narrspindling (VU)</w:t>
      </w:r>
      <w:r>
        <w:t xml:space="preserve"> bildar mykorrhiza med tall på kalkrik mark i luckig kalktallskog. Den är placerad högst upp i Skogsstyrelsens värdepyramid för bedömning av skog med höga naturvärden och är i Norden bara känd från ett fåtal lokaler på Gotland. Arten är mycket sårbar genom sin fåtaliga förekomst och bedöms ha minskat och fortsätter att minska, huvudsakligen p.g.a. slutavverkningar av äldre barrskog (SLU Artdatabanken, 2024; Nitare &amp; Skogsstyrelsen, 2019).</w:t>
      </w:r>
    </w:p>
    <w:p>
      <w:r>
        <w:rPr>
          <w:b/>
        </w:rPr>
        <w:t>Rostspindling (VU)</w:t>
      </w:r>
      <w:r>
        <w:t xml:space="preserve"> bildar mykorrhiza med gran, i äldre ängsgranskog på kalkrik och näringsrik, något fuktig mark. Den totala populationen i landet bedöms ha minskat och förväntas fortsätta minska på grund av slutavverkning av äldre barrskog och kontinuitetsskog. Arten hotas av intensivt skogsbruk, särskilt kalavverkning, markavvattning och markberedning. Rostspindlingens växtplatser bevaras bäst genom att skogsbruk undviks (SLU Artdatabanken, 2026).</w:t>
      </w:r>
    </w:p>
    <w:p>
      <w:r>
        <w:rPr>
          <w:b/>
        </w:rPr>
        <w:t>Svartgrön spindling (VU)</w:t>
      </w:r>
      <w:r>
        <w:t>, som bildar mykorrhiza med gran och tall i ängsgranskog och barrblandskog på kalkrik mark, har i Sverige sin huvudsakliga utbredning på Gotland. Arten är placerad högst upp i Skogsstyrelsens värdepyramid för bedömning av skog med höga naturvärden och den missgynnas av intensivt skogsbruk och kalavverkningar. Svartgrön spindling är globalt rödlistad som nära hotad (NT) vilket innebär att Sverige har ett internationellt ansvar för arten (SLU Artdatabanken, 2024; Nitare &amp; Skogsstyrelsen, 2019; IUCN, 2019).</w:t>
      </w:r>
    </w:p>
    <w:p>
      <w:r>
        <w:rPr>
          <w:b/>
        </w:rPr>
        <w:t>Violettfläckig spindling (VU)</w:t>
      </w:r>
      <w:r>
        <w:t xml:space="preserve"> bildar mykorrhiza med gran och tall i äldre kalkbarrskogar på torr, örtrik mark. Minskningstakten uppgår till 30 % inom 50 år och överstiger gränsvärdet för Sårbar (VU). Artens ekologiska krav med fynd enbart i äldre, örtrika kalkbarrskogar med kontinuitet, miljöer som idag ofta är starkt hotade av slutavverkningar, gör den mycket sårbar. Alla kända lokaler har ett högt skyddsvärde och kalkbarrskogar med höga naturvärden bör få områdesskydd med individuellt anpassade skötselråd (SLU Artdatabanken, 2024).</w:t>
      </w:r>
    </w:p>
    <w:p>
      <w:r>
        <w:rPr>
          <w:b/>
        </w:rPr>
        <w:t>Barrviolspindling (NT)</w:t>
      </w:r>
      <w:r>
        <w:t xml:space="preserve"> bildar mykorrhiza med gran, huvudsakligen i örtrika kalkpåverkade äldre granskogar. Arten är sannolikt uttorkningskänslig och knuten till granskogar med långvarig grankontinuitet. Den hotas främst av skogsavverkning och tycks försvinna efter slutavverkning, markberedning och plantering. Minskningstakten uppgår till 15 % inom 50 år och bedöms vara nära gränsvärdet för Sårbar (VU). (A2c+3c+4c) (SLU Artdatabanken, 2024; Nitare &amp; Skogsstyrelsen, 2019).</w:t>
      </w:r>
    </w:p>
    <w:p>
      <w:r>
        <w:rPr>
          <w:b/>
        </w:rPr>
        <w:t>Bittermusseron (NT)</w:t>
      </w:r>
      <w:r>
        <w:t xml:space="preserve"> är en kalkgynnad och värmeälskande förnasvamp som påträffas i äldre kalkbarrskogar, gärna på relativt torr mark. Virkesrika, äldre barrskogar med hög bonitet, på bättre jordar är en bristvara i befintliga, skyddade områden i Sverige. Därför måste fler örtrika barrskogar, särskilt de med trädkontinuitet, skyddas i större utsträckning än vad som tidigare gjorts. Uttag av skog ska helst göras genom plockhuggning, blädning eller andra alternativa, skonsamma avverkningsformer (SLU Artdatabanken, 2024; Nitare &amp; Skogsstyrelsen, 2019).</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Kungsspindling (NT)</w:t>
      </w:r>
      <w:r>
        <w:t xml:space="preserve"> växer på näringsrikare, helst kalkhaltig mark, nästan alltid i barrskog, där den bildar mykorrhiza med gran och tall, mera sällan insprängd hassel. Förekommer sällsynt även i rik lövskog. Minskningstakten uppgår till 15 % inom 50 år och bedöms vara nära gränsvärdet för Sårbar (VU). (A2c+3c+4c). Kalavverkningar måste helt undvikas på lokaler med kungsspindling (SLU Artdatabanken, 2024).</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Rödfläckig zontaggsvamp (NT)</w:t>
      </w:r>
      <w:r>
        <w:t xml:space="preserve"> bildar mykorrhiza med gran i barrskog på kalkrik eller annan basiskt påverkad mark. Den totala populationen i landet har minskat och bedöms fortsätta minska till följd av avverkning av äldre kalkbarrskog. Det finns inga indikationer på att arten långsiktigt kan etablera eller reproducera sig i skogsbestånd som brukas med trakthyggesmetoder, markberedning, gödsling eller föryngring med förädlat plantmaterial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