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6303-2024 i Gotlands kommun</w:t>
      </w:r>
    </w:p>
    <w:p>
      <w:r>
        <w:t>Denna tillsynsbegäran behandlar höga naturvärden i avverkningsanmälan A 6303-2024 i Gotlands kommun som inkom 2024-02-16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75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0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75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6378999, E 691795 i SWEREF 99 TM.</w:t>
      </w:r>
    </w:p>
    <w:p>
      <w:r>
        <w:t>I avverkningsanmälan finns fynd av 1 naturvårdsarter, varav 1 är typisk (T) och 1 är signalart (S): strävlosta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Strävlosta </w:t>
      </w:r>
      <w:r>
        <w:t xml:space="preserve">är ett sällsynt och exklusivt lundgräs som växer i extremrika ädellundskogar och lundar, men även i extremrika kalkbarrskogar. Arten är placerad högst upp i Skogsstyrelsens värdepyramid för bedömning av skog med höga naturvärden och på växtplatserna finns normalt många andra rödlistade och hotade arter. Strävlosta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9180 Ädellövskog i branter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