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33011-2025 i Gotlands kommun</w:t>
      </w:r>
    </w:p>
    <w:p>
      <w:r>
        <w:t>Denna tillsynsbegäran behandlar höga naturvärden i avverkningsanmälan A 33011-2025 i Gotlands kommun som inkom 2025-07-02 och omfattar 1,7 ha.</w:t>
      </w:r>
    </w:p>
    <w:p>
      <w:pPr>
        <w:pStyle w:val="Caption"/>
      </w:pPr>
      <w:r>
        <w:drawing>
          <wp:inline xmlns:a="http://schemas.openxmlformats.org/drawingml/2006/main" xmlns:pic="http://schemas.openxmlformats.org/drawingml/2006/picture">
            <wp:extent cx="5486400" cy="4768645"/>
            <wp:docPr id="1" name="Picture 1"/>
            <wp:cNvGraphicFramePr>
              <a:graphicFrameLocks noChangeAspect="1"/>
            </wp:cNvGraphicFramePr>
            <a:graphic>
              <a:graphicData uri="http://schemas.openxmlformats.org/drawingml/2006/picture">
                <pic:pic>
                  <pic:nvPicPr>
                    <pic:cNvPr id="0" name="A 33011-2025 karta.png"/>
                    <pic:cNvPicPr/>
                  </pic:nvPicPr>
                  <pic:blipFill>
                    <a:blip r:embed="rId16"/>
                    <a:stretch>
                      <a:fillRect/>
                    </a:stretch>
                  </pic:blipFill>
                  <pic:spPr>
                    <a:xfrm>
                      <a:off x="0" y="0"/>
                      <a:ext cx="5486400" cy="4768645"/>
                    </a:xfrm>
                    <a:prstGeom prst="rect"/>
                  </pic:spPr>
                </pic:pic>
              </a:graphicData>
            </a:graphic>
          </wp:inline>
        </w:drawing>
      </w:r>
    </w:p>
    <w:p>
      <w:pPr>
        <w:pStyle w:val="Caption"/>
        <w:spacing w:after="240"/>
      </w:pPr>
      <w:r>
        <w:t>Figur 1. Fyndplatser för naturvårdsarter inom 25 meter från avverkningsanmälan. Markörer utan svart kant är placerade på fyndplatsen. Markörer med svart kant är placerade vid sidan av fyndplatsen har ett svart streck som visar fyndplatsens exakta position. Kartans mittpunktskoordinat är N 6382213, E 721427 i SWEREF 99 TM.</w:t>
      </w:r>
    </w:p>
    <w:p>
      <w:r>
        <w:t>Inom 25 meter från avverkningsanmälan finns fynd av 2 naturvårdsarter, varav 2 är rödlistade, 2 är fridlysta och 1 är typisk (T): hasselsnok (VU, §4a) och mindre hackspett (NT,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Mindre hackspett är typisk art för </w:t>
      </w:r>
      <w:r>
        <w:rPr>
          <w:i/>
        </w:rPr>
        <w:t>9010 Taiga, 9750 Svämlövskog, 9080 Lövsumpskog, 9030 Landhöjningsskog och 9040 Fjällbjörkskog</w:t>
      </w:r>
      <w:r>
        <w:t xml:space="preserve"> (SLU Artdatabanken, 2021;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Mindre hackspett – ekologi samt krav på livsmiljön</w:t>
      </w:r>
    </w:p>
    <w:p>
      <w:r>
        <w:t xml:space="preserve">Mindre hackspett (NT) är rödlistad som nära hotad, fridlyst och prioriterad art i Skogsvårdslagen. Den är typisk art för </w:t>
      </w:r>
      <w:r>
        <w:rPr>
          <w:i/>
        </w:rPr>
        <w:t>9010 Taiga, 9750 Svämlövskog, 9080 Lövsumpskog, 9030 Landhöjningsskog och 9040 Fjällbjörkskog</w:t>
      </w:r>
      <w:r>
        <w:t>.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