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39839-2019 i Gotlands kommun</w:t>
      </w:r>
    </w:p>
    <w:p>
      <w:r>
        <w:t>Detta dokument behandlar höga naturvärden i avverkningsanmälan A 39839-2019 i Gotlands kommun. Denna avverkningsanmälan inkom 2019-08-12 och omfattar 18,9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apollofjäril (NT, §4a), hårig blombock (NT), sexfläckig bastardsvärmare (NT) och åttafläckig praktbagge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9384"/>
            <wp:docPr id="1" name="Picture 1"/>
            <wp:cNvGraphicFramePr>
              <a:graphicFrameLocks noChangeAspect="1"/>
            </wp:cNvGraphicFramePr>
            <a:graphic>
              <a:graphicData uri="http://schemas.openxmlformats.org/drawingml/2006/picture">
                <pic:pic>
                  <pic:nvPicPr>
                    <pic:cNvPr id="0" name="A 39839-2019 karta.png"/>
                    <pic:cNvPicPr/>
                  </pic:nvPicPr>
                  <pic:blipFill>
                    <a:blip r:embed="rId16"/>
                    <a:stretch>
                      <a:fillRect/>
                    </a:stretch>
                  </pic:blipFill>
                  <pic:spPr>
                    <a:xfrm>
                      <a:off x="0" y="0"/>
                      <a:ext cx="5486400" cy="7159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6367688, E 730433 i SWEREF 99 TM.</w:t>
      </w:r>
    </w:p>
    <w:p>
      <w:r>
        <w:rPr>
          <w:b/>
        </w:rPr>
        <w:t xml:space="preserve">Hårig blombock (NT) </w:t>
      </w:r>
      <w:r>
        <w:t>är en skalbagge vars larvutveckling sker i barklös, torr död ved i grövre grenar, stammar och lågor av tall. Arten är knuten till glesa tallskogar, främst på sand- och hällmarker, och kan mer tillfälligt uppträda på hyggen och brandfält. Arten hotas främst av en brist på lämplig ved i glesa tallskogar vilket till stor del beror på allt tätare produktionsskogar samt avsaknad av skogsbränder. Den viktigaste åtgärden är att bibehålla eller skapa glesa tallskogsmiljöer med gott om grov tallved. Inom brukad skog är det viktigt att lämna mer grov tallved, exempelvis i form av högstubbar, torrträd och lågor. Naturvårdsbränningar på främst hedar och hällmarker är gynnsamt. Hårig blombock ingår i ett åtgärdsprogram för hotade arter (ÅGP) (SLU Artdatabanken, 2024; Wikars, 2014).</w:t>
      </w:r>
    </w:p>
    <w:p>
      <w:pPr>
        <w:pStyle w:val="Heading1"/>
      </w:pPr>
      <w:r>
        <w:t>Fridlysta arter</w:t>
      </w:r>
    </w:p>
    <w:p>
      <w:r>
        <w:t>Följande fridlysta arter har sina livsmiljöer och växtplatser i den avverkningsanmälda skogen: apollofjäril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