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64658-2023 i Gotlands kommun</w:t>
      </w:r>
    </w:p>
    <w:p>
      <w:r>
        <w:t>Detta dokument behandlar höga naturvärden i avverkningsanmälan A 64658-2023 i Gotlands kommun. Denna avverkningsanmälan inkom 2023-12-21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ädellav (EN), blek kraterlav (VU), garderönn (VU, §7), västlig njurlav (VU), strävlosta (S) och underviol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0006"/>
            <wp:docPr id="1" name="Picture 1"/>
            <wp:cNvGraphicFramePr>
              <a:graphicFrameLocks noChangeAspect="1"/>
            </wp:cNvGraphicFramePr>
            <a:graphic>
              <a:graphicData uri="http://schemas.openxmlformats.org/drawingml/2006/picture">
                <pic:pic>
                  <pic:nvPicPr>
                    <pic:cNvPr id="0" name="A 64658-2023 karta.png"/>
                    <pic:cNvPicPr/>
                  </pic:nvPicPr>
                  <pic:blipFill>
                    <a:blip r:embed="rId16"/>
                    <a:stretch>
                      <a:fillRect/>
                    </a:stretch>
                  </pic:blipFill>
                  <pic:spPr>
                    <a:xfrm>
                      <a:off x="0" y="0"/>
                      <a:ext cx="5486400" cy="3630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6363182, E 711895 i SWEREF 99 TM.</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p>
      <w:r>
        <w:rPr>
          <w:b/>
        </w:rPr>
        <w:t xml:space="preserve">Strävlosta </w:t>
      </w:r>
      <w:r>
        <w:t>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(Nitare &amp; Skogsstyrelsen, 2019).</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r>
        <w:rPr>
          <w:b/>
        </w:rPr>
        <w:t>Västlig njurlav (VU)</w:t>
      </w:r>
      <w:r>
        <w:t xml:space="preserve"> växer på mossiga lövträdstammar eller klippor i områden med hög luftfuktighet och förekommer huvudsakligen på lövträd, främst asp men ofta också på ask, sälg, rönn, ek och lönn. Den mest typiska miljön är halvöppen blandskog i bergskanter med gran och senvuxna aspar. Arten hotas av avverkning av asp och andra lövträd i blandskogar samt av utglesning av skog på eller i omedelbar närhet av växtplatsen. Nyetablering och spridning försvåras av att aspar i blandskogar ofta avverkas i samband med gallringar. Lämpliga miljöer nyskapas i mycket begränsad omfattning. Västlig njurlav är placerad högst upp i Skogsstyrelsens värdepyramid för bedömning av skog med höga naturvärden och har minskat med 25 (20–30) % under de senaste 50 åren. Sedan 2010 har minskningstakten ökat och överstiger gränsvärdet för Sårbar (VU) enligt A-kriteriet. (A3bc) (SLU Artdatabanken, 2024; Nitare &amp; Skogsstyrelsen, 2019).</w:t>
      </w:r>
    </w:p>
    <w:p>
      <w:r>
        <w:rPr>
          <w:b/>
        </w:rPr>
        <w:t xml:space="preserve">Ädellav (EN) </w:t>
      </w:r>
      <w:r>
        <w:t>är en starkt hotad lav som 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(SLU Artdatabanken, 2024; Nitare &amp; Skogsstyrelsen, 2019).</w:t>
      </w:r>
    </w:p>
    <w:p>
      <w:pPr>
        <w:pStyle w:val="Heading1"/>
      </w:pPr>
      <w:r>
        <w:t>Fridlysta arter</w:t>
      </w:r>
    </w:p>
    <w:p>
      <w:r>
        <w:t>Följande fridlysta arter har sina livsmiljöer och växtplatser i den avverkningsanmälda skogen: garderönn (VU, §7).</w:t>
      </w:r>
    </w:p>
    <w:p>
      <w:r>
        <w:rPr>
          <w:b/>
        </w:rPr>
        <w:t>Garderönn (VU, §7)</w:t>
      </w:r>
      <w:r>
        <w:t xml:space="preserve"> är strikt skyddad enligt §7 Artskyddsförordningen (bilaga 1) vilket innebär att hela dess livsmiljö ska bevaras. Den är enbart är känd från ett mindre område på östra Gotland där den växer i gles kalktallskog och på kalkhällar. Arten hotas genom sin lilla population. Markägare och verksamma inom skogsnäringen inom det område där garderönnen växer måste lära sig känna igen denna strikt skyddade art, för att undvika att skada den av misstag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