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18957-2024 i Gotlands kommun</w:t>
      </w:r>
    </w:p>
    <w:p>
      <w:r>
        <w:t>Detta dokument behandlar höga naturvärden i avverkningsanmälan A 18957-2024 i Gotlands kommun. Denna avverkningsanmälan inkom 2024-05-15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dårgräsfjäril (NT, §4a), jordtistel (NT), sexfläckig bastardsvärmare (NT), solvända (NT), svartfläckig blåvinge (NT, §4a), svinrot (NT), skogsknipprot (S, §8), tvåblad (S, §8), nattviol (§8), blåsippa (§9)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5912"/>
            <wp:docPr id="1" name="Picture 1"/>
            <wp:cNvGraphicFramePr>
              <a:graphicFrameLocks noChangeAspect="1"/>
            </wp:cNvGraphicFramePr>
            <a:graphic>
              <a:graphicData uri="http://schemas.openxmlformats.org/drawingml/2006/picture">
                <pic:pic>
                  <pic:nvPicPr>
                    <pic:cNvPr id="0" name="A 18957-2024 karta.png"/>
                    <pic:cNvPicPr/>
                  </pic:nvPicPr>
                  <pic:blipFill>
                    <a:blip r:embed="rId16"/>
                    <a:stretch>
                      <a:fillRect/>
                    </a:stretch>
                  </pic:blipFill>
                  <pic:spPr>
                    <a:xfrm>
                      <a:off x="0" y="0"/>
                      <a:ext cx="5486400" cy="44059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6369787, E 720495 i SWEREF 99 TM.</w:t>
      </w:r>
    </w:p>
    <w:p>
      <w:pPr>
        <w:pStyle w:val="Heading1"/>
      </w:pPr>
      <w:r>
        <w:t>Fridlysta arter</w:t>
      </w:r>
    </w:p>
    <w:p>
      <w:r>
        <w:t>Följande fridlysta arter har sina livsmiljöer och växtplatser i den avverkningsanmälda skogen: dårgräsfjäril (NT, §4a), svartfläckig blåvinge (NT, §4a), skogsknipprot (S, §8), tvåblad (S, §8), nattviol (§8), blåsippa (§9) och revlummer (§9).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