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23 naturvårdsarter, varav 14 är rödlistade, 4 är fridlysta, 4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