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11176-2024 i Gotlands kommun</w:t>
      </w:r>
    </w:p>
    <w:p>
      <w:r>
        <w:t>Detta klagomål behandlar höga naturvärden i avverkningsanmälan A 11176-2024 i Gotlands kommun som inkom 2024-03-20 och omfattar 1,7 ha.</w:t>
      </w:r>
    </w:p>
    <w:p>
      <w:pPr>
        <w:pStyle w:val="Caption"/>
      </w:pPr>
      <w:r>
        <w:drawing>
          <wp:inline xmlns:a="http://schemas.openxmlformats.org/drawingml/2006/main" xmlns:pic="http://schemas.openxmlformats.org/drawingml/2006/picture">
            <wp:extent cx="5486400" cy="5361123"/>
            <wp:docPr id="1" name="Picture 1"/>
            <wp:cNvGraphicFramePr>
              <a:graphicFrameLocks noChangeAspect="1"/>
            </wp:cNvGraphicFramePr>
            <a:graphic>
              <a:graphicData uri="http://schemas.openxmlformats.org/drawingml/2006/picture">
                <pic:pic>
                  <pic:nvPicPr>
                    <pic:cNvPr id="0" name="A 11176-2024 karta.png"/>
                    <pic:cNvPicPr/>
                  </pic:nvPicPr>
                  <pic:blipFill>
                    <a:blip r:embed="rId16"/>
                    <a:stretch>
                      <a:fillRect/>
                    </a:stretch>
                  </pic:blipFill>
                  <pic:spPr>
                    <a:xfrm>
                      <a:off x="0" y="0"/>
                      <a:ext cx="5486400" cy="536112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6367568, E 726813 i SWEREF 99 TM.</w:t>
      </w:r>
    </w:p>
    <w:p>
      <w:r>
        <w:t>I och inom 24 meter från avverkningsanmälan finns fynd av 14 naturvårdsarter, varav 10 är rödlistade, 1 är typisk (T) och 4 är signalarter (S): granrotspindling (VU), gul lammticka (VU), gulsträngad fagerspindling (VU), svartgrön spindling (VU), tvillingspindling (VU), violettfläckig spindling (VU), vit taggsvamp (VU), bittermusseron (NT), blå slemspindling (NT, T), odörspindling (NT), anisspindling (S), olivspindling (S), rödbrun jordstjärna (S)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Tvillingspindling (VU)</w:t>
      </w:r>
      <w:r>
        <w:t xml:space="preserve"> bildar mykorrhiza med gran och växer enbart i örtrika grandominerade kalkbarrskogar med kontinuitet och hög bonitet, miljöer som idag är starkt hotade av slutavverkningar. Tvillingspindlingen liksom en lång rad av dess följearter knutna till kalk- och örtrika barrblandskogar med lång kontinuitet är beroende av områdesskydd eller naturvårdsavtal som förhindrar slutavverkningar av dess växtmiljöer (SLU Artdatabanken, 2024).</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p>
      <w:r>
        <w:rPr>
          <w:b/>
        </w:rPr>
        <w:t xml:space="preserve">Vit taggsvamp (VU) </w:t>
      </w:r>
      <w:r>
        <w:t>bildar mykorrhiza med gran och tall i äldre ängsgranskog och hällmarksbarrskog på kalkrik mark. Kända aktuella lokaler finns endast på Gotland. Det främsta hotet mot arten är avverkning av dess värdträd gran och tall och kända lokaler bör undantas från avverkning för att säkra att dessa hålls intakta (SLU Artdatabanken, 2024).</w:t>
      </w:r>
    </w:p>
    <w:p>
      <w:r>
        <w:rPr>
          <w:b/>
        </w:rPr>
        <w:t>Bittermusseron (NT)</w:t>
      </w:r>
      <w:r>
        <w:t xml:space="preserve"> är en kalkgynnad och värmeälskande förnasvamp som påträffas i äldre kalkbarrskogar, gärna på relativt torr mark. Virkesrika, äldre barrskogar med hög bonitet, på bättre jordar är en bristvara i befintliga, skyddade områden i Sverige. Därför måste fler örtrika barrskogar, särskilt de med trädkontinuitet, skyddas i större utsträckning än vad som tidigare gjorts. Uttag av skog ska helst göras genom plockhuggning, blädning eller andra alternativa, skonsamma avverkningsformer (SLU Artdatabanken, 2024; Nitare &amp; Skogsstyrelsen, 2019).</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Rödbrun jordstjärna </w:t>
      </w:r>
      <w:r>
        <w:t>lever som nedbrytare i mer eller mindre basiska, ofta kalkrika jordar i tallskog, men även i askskog och blandskog. Artens växtplatser och närliggande skogsmiljö undantas från slutavverkning och genomgripande gallringar eller röjningar av enbuskar i vars barrmattor den lever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