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20307-2025 i Gotlands kommun</w:t>
      </w:r>
    </w:p>
    <w:p>
      <w:r>
        <w:t>Detta klagomål behandlar höga naturvärden i avverkningsanmälan A 20307-2025 i Gotlands kommun som inkom 2025-04-27 och omfattar 6,8 ha.</w:t>
      </w:r>
    </w:p>
    <w:p>
      <w:pPr>
        <w:pStyle w:val="Caption"/>
      </w:pPr>
      <w:r>
        <w:drawing>
          <wp:inline xmlns:a="http://schemas.openxmlformats.org/drawingml/2006/main" xmlns:pic="http://schemas.openxmlformats.org/drawingml/2006/picture">
            <wp:extent cx="5486400" cy="4357376"/>
            <wp:docPr id="1" name="Picture 1"/>
            <wp:cNvGraphicFramePr>
              <a:graphicFrameLocks noChangeAspect="1"/>
            </wp:cNvGraphicFramePr>
            <a:graphic>
              <a:graphicData uri="http://schemas.openxmlformats.org/drawingml/2006/picture">
                <pic:pic>
                  <pic:nvPicPr>
                    <pic:cNvPr id="0" name="A 20307-2025 karta.png"/>
                    <pic:cNvPicPr/>
                  </pic:nvPicPr>
                  <pic:blipFill>
                    <a:blip r:embed="rId16"/>
                    <a:stretch>
                      <a:fillRect/>
                    </a:stretch>
                  </pic:blipFill>
                  <pic:spPr>
                    <a:xfrm>
                      <a:off x="0" y="0"/>
                      <a:ext cx="5486400" cy="435737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6376296, E 696260 i SWEREF 99 TM.</w:t>
      </w:r>
    </w:p>
    <w:p>
      <w:r>
        <w:t>I och inom 4 meter från avverkningsanmälan finns fynd av 11 naturvårdsarter, varav 7 är rödlistade, 1 är typisk (T) och 4 är signalarter (S): gulsträngad fagerspindling (VU), trollspindling (VU), barrfagerspindling (NT), blå slemspindling (NT, T), fjällig taggsvamp s.str. (NT), odörspindling (NT), skarp dropptaggsvamp (NT), anisspindling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