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4837886"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483788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35 naturvårdsarter, varav 27 är rödlistade, 2 är fridlysta, 6 är typiska (T) och 6 är signalarter (S): ask (EN), svartnande fingersvamp (EN), bredbrämad bastardsvärmare (VU), granrotspindling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fjällig taggsvamp s.str. (NT), jordtistel (NT), kryddspindling (NT, T), mindre tåtelsmygare (NT), odörspindling (NT), sandkremla (NT), slåtterfibbla (NT, T), solvända (NT), svinrot (NT), anisspindling (S), diskvaxskivling (S), mindre märgborre (S, T), murgröna (S, T), olivspindling (S), strimspindling (S), kattfot (T)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Sandkremla (NT) </w:t>
      </w:r>
      <w:r>
        <w:t>bildar mykorrhiza med tall, i tallskog på sanddyner och tallhedar på kalkrik mark. Knuten till en väl avgränsad och väl genomsökt miljö och växer huvudsakligen i äldre skogsbestånd. Total population i landet bedöms fortgående att minska p.g.a. avverkning av äldre kalktallskog. Tallskog på sandig mark hyser en rad ovanliga svamparter och det är angeläget att sådana skogar undantas från avverkning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murgröna (S, T) och kattfot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