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26 naturvårdsarter, varav 20 är rödlistade, 1 är fridlyst, 7 är typiska (T) och 4 är signalarter (S): Coniocarpon fallax (CR), knölig taggsvamp (EN), duvspindling (VU), granrotspindling (VU), gul lammticka (VU), gulsträngad fagerspindling (VU), gyllenspindling (VU), svartgrön spindling (VU), trollspindling (VU), blek fingersvamp (NT), blå slemspindling (NT, T), dofttaggsvamp (NT, T), fjällig taggsvamp s.str. (NT), kryddspindling (NT, T), odörspindling (NT), orange taggsvamp (NT, T), rödfläckig zontaggsvamp (NT), svart taggsvamp (NT), vårärt (NT, T), äggspindling (NT), anisspindling (S), brandmusseron (S), fransig jordstjärna (S), olivspindling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dofttaggsvamp (NT, T), kryddspindling (NT, T), orange taggsvamp (NT, T), vårärt (NT,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