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11176-2024 i Gotlands kommun</w:t>
      </w:r>
    </w:p>
    <w:p>
      <w:r>
        <w:t>Detta klagomål behandlar höga naturvärden i avverkningsanmälan A 11176-2024 i Gotlands kommun som inkom 2024-03-20 och omfattar 1,7 ha.</w:t>
      </w:r>
    </w:p>
    <w:p>
      <w:pPr>
        <w:pStyle w:val="Caption"/>
      </w:pPr>
      <w:r>
        <w:drawing>
          <wp:inline xmlns:a="http://schemas.openxmlformats.org/drawingml/2006/main" xmlns:pic="http://schemas.openxmlformats.org/drawingml/2006/picture">
            <wp:extent cx="5486400" cy="5361123"/>
            <wp:docPr id="1" name="Picture 1"/>
            <wp:cNvGraphicFramePr>
              <a:graphicFrameLocks noChangeAspect="1"/>
            </wp:cNvGraphicFramePr>
            <a:graphic>
              <a:graphicData uri="http://schemas.openxmlformats.org/drawingml/2006/picture">
                <pic:pic>
                  <pic:nvPicPr>
                    <pic:cNvPr id="0" name="A 11176-2024 karta.png"/>
                    <pic:cNvPicPr/>
                  </pic:nvPicPr>
                  <pic:blipFill>
                    <a:blip r:embed="rId16"/>
                    <a:stretch>
                      <a:fillRect/>
                    </a:stretch>
                  </pic:blipFill>
                  <pic:spPr>
                    <a:xfrm>
                      <a:off x="0" y="0"/>
                      <a:ext cx="5486400" cy="5361123"/>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6367568, E 726813 i SWEREF 99 TM.</w:t>
      </w:r>
    </w:p>
    <w:p>
      <w:r>
        <w:t>I och inom 24 meter från avverkningsanmälan finns fynd av 14 naturvårdsarter, varav 10 är rödlistade, 1 är typisk (T) och 4 är signalarter (S): granrotspindling (VU), gul lammticka (VU), gulsträngad fagerspindling (VU), svartgrön spindling (VU), tvillingspindling (VU), violettfläckig spindling (VU), vit taggsvamp (VU), bittermusseron (NT), blå slemspindling (NT, T), odörspindling (NT), anisspindling (S), olivspindling (S), rödbrun jordstjärna (S)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Granrotspindling (VU) </w:t>
      </w:r>
      <w:r>
        <w:t>bildar mykorrhiza med gran. Växer i djup barrförna, gärna i gamla myrstackar, i medelålders till äldre ängsgranskog på kalkrik mark.</w:t>
      </w:r>
      <w:r>
        <w:rPr>
          <w:b/>
        </w:rPr>
        <w:t xml:space="preserve"> </w:t>
      </w:r>
      <w:r>
        <w:t>Minskningstakten uppgår till 30 % inom 50 år och överstiger gränsvärdet för Sårbar (VU) enligt A-kriteriet. (A2c+3c+4c). Arten missgynnas av avverkning och markberedning. Generellt bör lokaler som är särskilt rika på förekomster av sällsynta svampar säkerställas och lämnas för fri utveckling (SLU Artdatabanken, 2024).</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Svartgrön spindling (VU)</w:t>
      </w:r>
      <w:r>
        <w:t>, som bildar mykorrhiza med gran och tall i ängsgranskog och barrblandskog på kalkrik mark, har i Sverige sin huvudsakliga utbredning på Gotland. Arten är placerad högst upp i Skogsstyrelsens värdepyramid för bedömning av skog med höga naturvärden och den missgynnas av intensivt skogsbruk och kalavverkningar. Svartgrön spindling är globalt rödlistad som nära hotad (NT) vilket innebär att Sverige har ett internationellt ansvar för arten (SLU Artdatabanken, 2024; Nitare &amp; Skogsstyrelsen, 2019; IUCN, 2019).</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r>
        <w:rPr>
          <w:b/>
        </w:rPr>
        <w:t>Violettfläckig spindling (VU)</w:t>
      </w:r>
      <w:r>
        <w:t xml:space="preserve"> bildar mykorrhiza med gran och tall i äldre kalkbarrskogar på torr, örtrik mark. Minskningstakten uppgår till 30 % inom 50 år och överstiger gränsvärdet för Sårbar (VU). Artens ekologiska krav med fynd enbart i äldre, örtrika kalkbarrskogar med kontinuitet, miljöer som idag ofta är starkt hotade av slutavverkningar, gör den mycket sårbar. Alla kända lokaler har ett högt skyddsvärde och kalkbarrskogar med höga naturvärden bör få områdesskydd med individuellt anpassade skötselråd (SLU Artdatabanken, 2024).</w:t>
      </w:r>
    </w:p>
    <w:p>
      <w:r>
        <w:rPr>
          <w:b/>
        </w:rPr>
        <w:t xml:space="preserve">Vit taggsvamp (VU) </w:t>
      </w:r>
      <w:r>
        <w:t>bildar mykorrhiza med gran och tall i äldre ängsgranskog och hällmarksbarrskog på kalkrik mark. Kända aktuella lokaler finns endast på Gotland. Det främsta hotet mot arten är avverkning av dess värdträd gran och tall och kända lokaler bör undantas från avverkning för att säkra att dessa hålls intakta (SLU Artdatabanken, 2024).</w:t>
      </w:r>
    </w:p>
    <w:p>
      <w:r>
        <w:rPr>
          <w:b/>
        </w:rPr>
        <w:t>Bittermusseron (NT)</w:t>
      </w:r>
      <w:r>
        <w:t xml:space="preserve"> är en kalkgynnad och värmeälskande förnasvamp som påträffas i äldre kalkbarrskogar, gärna på relativt torr mark. Virkesrika, äldre barrskogar med hög bonitet, på bättre jordar är en bristvara i befintliga, skyddade områden i Sverige. Därför måste fler örtrika barrskogar, särskilt de med trädkontinuitet, skyddas i större utsträckning än vad som tidigare gjorts. Uttag av skog ska helst göras genom plockhuggning, blädning eller andra alternativa, skonsamma avverkningsformer (SLU Artdatabanken, 2024; Nitare &amp; Skogsstyrelsen,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r>
        <w:rPr>
          <w:b/>
        </w:rPr>
        <w:t xml:space="preserve">Rödbrun jordstjärna </w:t>
      </w:r>
      <w:r>
        <w:t>lever som nedbrytare i mer eller mindre basiska, ofta kalkrika jordar i tallskog, men även i askskog och blandskog. Artens växtplatser och närliggande skogsmiljö undantas från slutavverkning och genomgripande gallringar eller röjningar av enbuskar i vars barrmattor den lever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