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20218-2022 i Gotlands kommun</w:t>
      </w:r>
    </w:p>
    <w:p>
      <w:r>
        <w:t>Detta dokument behandlar höga naturvärden i avverkningsanmälan A 20218-2022 i Gotlands kommun. Denna avverkningsanmälan inkom 2022-05-17 00:00:00 och omfattar 4,3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flattoppad klubbsvamp (NT) och rödgul trumpetsvamp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03601"/>
            <wp:docPr id="1" name="Picture 1"/>
            <wp:cNvGraphicFramePr>
              <a:graphicFrameLocks noChangeAspect="1"/>
            </wp:cNvGraphicFramePr>
            <a:graphic>
              <a:graphicData uri="http://schemas.openxmlformats.org/drawingml/2006/picture">
                <pic:pic>
                  <pic:nvPicPr>
                    <pic:cNvPr id="0" name="A 20218-2022 karta.png"/>
                    <pic:cNvPicPr/>
                  </pic:nvPicPr>
                  <pic:blipFill>
                    <a:blip r:embed="rId16"/>
                    <a:stretch>
                      <a:fillRect/>
                    </a:stretch>
                  </pic:blipFill>
                  <pic:spPr>
                    <a:xfrm>
                      <a:off x="0" y="0"/>
                      <a:ext cx="5486400" cy="480360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6368302, E 691569 i SWEREF 99 TM.</w:t>
      </w:r>
    </w:p>
    <w:p>
      <w:r>
        <w:rPr>
          <w:b/>
        </w:rPr>
        <w:t xml:space="preserve">Flattoppad klubbsvamp (NT) </w:t>
      </w:r>
      <w:r>
        <w:t>bildar mykorrhiza med gran och växer i äldre barrskog på näringsrik, kalkpåverkad mark. Växtmiljön utgörs vanligen av örtrika granskogar med höga naturvärden, gärna påverkade av ytligt och rörligt markvatten. Svampen kräver välutvecklade gamla mossmattor med konstant fuktigt mikroklimat och hotas främst av slutavverkning av äldre ängsgranskogar på näringsrik mark. Artens lokaler bör undantas från skogsbruk (SLU Artdatabanken, 2024).</w:t>
      </w:r>
    </w:p>
    <w:p>
      <w:r>
        <w:rPr>
          <w:b/>
        </w:rPr>
        <w:t xml:space="preserve">Rödgul trumpetsvamp </w:t>
      </w:r>
      <w:r>
        <w:t>signalerar kalkrika barrsumpskogar eller avgränsade små mineralrika ytor i barrskogslandskapet, vilka normalt har höga naturvärden. I urbergsbygder är den en bra signalart på känsliga skogsbiotoper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