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2222-2024 i Gotlands kommun</w:t>
      </w:r>
    </w:p>
    <w:p>
      <w:r>
        <w:t>Detta dokument behandlar höga naturvärden i avverkningsanmälan A 2222-2024 i Gotlands kommun. Denna avverkningsanmälan inkom 2024-01-18 och omfattar 10,6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granrotsspindling (VU), gulsträngad fagerspindling (VU), svartgrön spindling (VU), tvillingspindling (VU), vit taggsvamp (VU), denisespindling (NT), odörspindling (NT), anisspindling (S), blå slemspindling (S), diskvaxskivling (S), fransig jordstjärna (S), olivspindling (S) och rödfläckig zontaggsvamp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6362"/>
            <wp:docPr id="1" name="Picture 1"/>
            <wp:cNvGraphicFramePr>
              <a:graphicFrameLocks noChangeAspect="1"/>
            </wp:cNvGraphicFramePr>
            <a:graphic>
              <a:graphicData uri="http://schemas.openxmlformats.org/drawingml/2006/picture">
                <pic:pic>
                  <pic:nvPicPr>
                    <pic:cNvPr id="0" name="A 2222-2024 karta.png"/>
                    <pic:cNvPicPr/>
                  </pic:nvPicPr>
                  <pic:blipFill>
                    <a:blip r:embed="rId16"/>
                    <a:stretch>
                      <a:fillRect/>
                    </a:stretch>
                  </pic:blipFill>
                  <pic:spPr>
                    <a:xfrm>
                      <a:off x="0" y="0"/>
                      <a:ext cx="5486400" cy="5336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6362390, E 695624 i SWEREF 99 TM.</w:t>
      </w:r>
    </w:p>
    <w:p>
      <w:r>
        <w:rPr>
          <w:b/>
        </w:rPr>
        <w:t>Denisespindling (NT)</w:t>
      </w:r>
      <w:r>
        <w:t xml:space="preserve"> bildar mykorrhiza med tall och gran i kalktallskog och ängsgranskog på kalkrik mark. Artens koppling till produktiva äldre granskogar med hög bonitet gör den särskilt utsatt för slutavverkning. Kalkbarrskogar med höga naturvärden bör undantas från rationellt skogsbruk och få områdesskydd med anpassade skötselråd (SLU Artdatabanken, 2024).</w:t>
      </w:r>
    </w:p>
    <w:p>
      <w:r>
        <w:rPr>
          <w:b/>
        </w:rPr>
        <w:t xml:space="preserve">Granrotsspindling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Tvillingspindling (VU)</w:t>
      </w:r>
      <w:r>
        <w:t xml:space="preserve"> bildar mykorrhiza med gran och växer enbart i örtrika grandominerade kalkbarrskogar med kontinuitet och hög bonitet, miljöer som idag är starkt hotade av slutavverkningar. Tvillingspindlingen liksom en lång rad av dess följearter knutna till kalk- och örtrika barrblandskogar med lång kontinuitet är beroende av områdesskydd eller naturvårdsavtal som förhindrar slutavverkningar av dess växtmiljöer (SLU Artdatabanken, 2024).</w:t>
      </w:r>
    </w:p>
    <w:p>
      <w:r>
        <w:rPr>
          <w:b/>
        </w:rPr>
        <w:t xml:space="preserve">Vit taggsvamp (VU) </w:t>
      </w:r>
      <w:r>
        <w:t>bildar mykorrhiza med gran och tall i äldre ängsgranskog och hällmarksbarrskog på kalkrik mark. Kända aktuella lokaler finns endast på Gotland. Det främsta hotet mot arten är avverkning av dess värdträd gran och tall och kända lokaler bör undantas från avverkning för att säkra att dessa hålls intakta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