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klagomål behandlar höga naturvärden i avverkningsanmälan A 7038-2023 i Gotlands kommun som inkom 2023-02-11 och omfattar 5,2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6363505, E 701373 i SWEREF 99 TM.</w:t>
      </w:r>
    </w:p>
    <w:p>
      <w:r>
        <w:t>I och inom 21 meter från avverkningsanmälan finns fynd av 8 naturvårdsarter, varav 6 är rödlistade, 1 är fridlyst, 4 är typiska (T) och 2 är signalarter (S): liten ädellav (EN, T), tät korallorangelav (VU), ädellav (VU, T), dårgräsfjäril (NT, §4a), blemlavsklotter (DD), frostig asplav (DD), guldlockmossa (S,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Tät korallorangelav (VU)</w:t>
      </w:r>
      <w:r>
        <w:t xml:space="preserve"> växer i Skåne mest på ek, ask och alm i alléer, på kyrkogårdar och i hagmarker medan den i Halland och Bohuslän oftast växer på ek och bok i öppna gamla skogar. Aktuella förekomster bör skyddas, speciellt förekomster som inte växer på alm och ask. Igenväxning av halvöppna miljöer och mosaikartade landskap där arten förekommer bör undvikas genom upprätthållet bete eller annan hävd (SLU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