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6153-2024 i Gotlands kommun</w:t>
      </w:r>
    </w:p>
    <w:p>
      <w:r>
        <w:t>Detta dokument behandlar höga naturvärden i avverkningsanmälan A 6153-2024 i Gotlands kommun. Denna avverkningsanmälan inkom 2024-02-15 00:00:00 och omfattar 14,2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16 naturvårdsarter hittats: ask (EN), svartnande fingersvamp (EN), gul lammticka (VU), gulsträngad fagerspindling (VU), läderdoftande fingersvamp (VU), mörkfjällig olivspindling (VU), narrspindling (VU), sotbandad spindling (VU), svartgrön spindling (VU), violettfläckig spindling (VU), odörspindling (NT), anisspindling (S), blå slemspindling (S), kryddspindling (S), mindre märgborre (S) och olivspindling (S). Av dessa är 11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11413"/>
            <wp:docPr id="1" name="Picture 1"/>
            <wp:cNvGraphicFramePr>
              <a:graphicFrameLocks noChangeAspect="1"/>
            </wp:cNvGraphicFramePr>
            <a:graphic>
              <a:graphicData uri="http://schemas.openxmlformats.org/drawingml/2006/picture">
                <pic:pic>
                  <pic:nvPicPr>
                    <pic:cNvPr id="0" name="A 6153-2024 karta.png"/>
                    <pic:cNvPicPr/>
                  </pic:nvPicPr>
                  <pic:blipFill>
                    <a:blip r:embed="rId16"/>
                    <a:stretch>
                      <a:fillRect/>
                    </a:stretch>
                  </pic:blipFill>
                  <pic:spPr>
                    <a:xfrm>
                      <a:off x="0" y="0"/>
                      <a:ext cx="5486400" cy="40114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6388484, E 700907 i SWEREF 99 TM.</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p>
      <w:r>
        <w:rPr>
          <w:b/>
        </w:rPr>
        <w:t>Blå slemspindling (NT)</w:t>
      </w:r>
      <w:r>
        <w:t xml:space="preserve"> är en mykorrhizasvamp som förekommer i kalkgranskogar med välutvecklade mossmattor och ett örtrikt fältskikt. Den växer även på rik mark i ädellövskog under bok, ek. lind och hassel. Växtplatserna har ofta hög luftfuktighet och ligger gärna i anslutning till en bäck eller ett fuktdråg där marken inte blir helt uttorkad under sommaren. Arten signalerar höga naturvärden och växer ofta tillsammans med många andra ovanliga och rödlistade arter. Den totala populationen i landet bedöms ha minskat och väntas fortsätta minska, främst till följd av avverkning av kalkbarrskogar. Blå slemspindling är typisk art för </w:t>
      </w:r>
      <w:r>
        <w:rPr>
          <w:i/>
        </w:rPr>
        <w:t xml:space="preserve">9050 Näringsrik granskog </w:t>
      </w:r>
      <w:r>
        <w:t>(SLU Artdatabanken, 2026; Nitare &amp; Skogsstyrelsen, 2019).</w:t>
      </w:r>
    </w:p>
    <w:p>
      <w:r>
        <w:rPr>
          <w:b/>
        </w:rPr>
        <w:t>Gul lammticka (VU)</w:t>
      </w:r>
      <w:r>
        <w:t xml:space="preserve"> bildar mykorrhiza med gran och förekommer i örtrik barrskog på kalkrik mark. Arten är placerad högst upp i Skogsstyrelsens värdepyramid för bedömning av skog med höga naturvärden och indikerar alltid skyddsvärda kalkgranskogar med höga naturvärden. Svampen tål inte slutavverkning och lokaler med gul lammticka bör skyddas som biotopskyddsområden eller naturreservat och lämnas för fri utveckling (SLU Artdatabanken, 2024; Nitare &amp; Skogsstyrelsen, 2019).</w:t>
      </w:r>
    </w:p>
    <w:p>
      <w:r>
        <w:rPr>
          <w:b/>
        </w:rPr>
        <w:t>Gulsträngad fagerspindling (VU)</w:t>
      </w:r>
      <w:r>
        <w:t>, som bildar mykorrhiza med tall och gran i luckig kalkbarrskog, har sin huvudsakliga utbredning på Gotland samt enstaka fynd på norra Öland. Arten är placerad högst upp i Skogsstyrelsens värdepyramid för bedömning av skog med höga naturvärden och hotas av slutavverkningar av äldre kontinuitetsbarrskog. Lokaler med arten måste skyddas från avverkning och kalkbrytning. Gulsträngad fagerspindling är globalt rödlistad som sårbar (VU) vilket innebär att Sverige har ett internationellt ansvar för arten (SLU Artdatabanken, 2024; Nitare &amp; Skogsstyrelsen, 2019; IUCN, 2019).</w:t>
      </w:r>
    </w:p>
    <w:p>
      <w:r>
        <w:rPr>
          <w:b/>
        </w:rPr>
        <w:t>Kryddspindling (NT)</w:t>
      </w:r>
      <w:r>
        <w:t xml:space="preserve"> signalerar örtrika granskogar som normalt har höga naturvärden. Oftast växer den i äldre granskog på kalkrikt underlag och svampen är en mycket användbar signalart för denna miljö. Den utgör en viktig karaktärsart för all äldre kalkbarrskog med lång trädkontinuitet av gran. På lokalerna förekommer nästan alltid många ovanliga och rödlistade arter. Den totala populationen i landet har minskat och bedöms fortsätta minska till följd av avverkning av äldre barrskogar. Kryddspindling är typisk art för </w:t>
      </w:r>
      <w:r>
        <w:rPr>
          <w:i/>
        </w:rPr>
        <w:t xml:space="preserve">9050 Näringsrik granskog </w:t>
      </w:r>
      <w:r>
        <w:t>(Nitare &amp; Skogsstyrelsen, 2000; SLU Artdatabanken, 2026).</w:t>
      </w:r>
    </w:p>
    <w:p>
      <w:r>
        <w:rPr>
          <w:b/>
        </w:rPr>
        <w:t xml:space="preserve">Läderdoftande fingersvamp (VU) </w:t>
      </w:r>
      <w:r>
        <w:t>bildar mykorrhiza med gran i örtrik äldre barrskog, ofta på kalkrik mark. Den har en speciell doft som kan påminna om nytt skoläder (skoaffär), därav det svenska namnet. Den totala populationen i landet bedöms ändå ha minskat starkt och fortsatt kommer att minska då arten är knuten till en bördig äldre kalkgranskogsmiljö som successivt avverkas och där få områden alltjämt är formellt skyddade. All form av hårdhänt skogsavverkning på eller i närheten av växtplatsen missgynnar arten. Artens huvudsakliga koppling till produktiva äldre granskogar med hög bonitet gör den särskilt utsatt för slutavverkning. Samtliga lokaler bör undantas från rationellt skogsbruk och få ett områdesskydd (SLU Artdatabanken, 2024; Nitare &amp; Skogsstyrelsen, 2019).</w:t>
      </w:r>
    </w:p>
    <w:p>
      <w:r>
        <w:rPr>
          <w:b/>
        </w:rPr>
        <w:t>Mindre märgborre</w:t>
      </w:r>
      <w:r>
        <w:t xml:space="preserve"> är en signalart för tallskog med höga naturvärden och betraktas tillsammans med skarptandad barkborre som nyckelarter för ett antal sällsynta åtgärdsprogramsarter som är beroende av deras gångsystem. Bland dessa kan nämnas avlång barkborre (VU), </w:t>
      </w:r>
      <w:r>
        <w:rPr>
          <w:i/>
        </w:rPr>
        <w:t>Corticeus longulus</w:t>
      </w:r>
      <w:r>
        <w:t xml:space="preserve"> (VU), tallgångbagge (VU), cholodkovskys bastborre (NT) och tallbarksvartbagge (NT). Den mindre märgborrens måsvingeliknande gnaggångar är lätta att känna igen och hittas ofta på grova tallgrenar på marken. 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(SLU Artdatabanken, 2026; Pettersson, 2014; Hedgren, 2012; Gunnarsson m fl., 1999).</w:t>
      </w:r>
    </w:p>
    <w:p>
      <w:r>
        <w:rPr>
          <w:b/>
        </w:rPr>
        <w:t>Mörkfjällig olivspindling (VU)</w:t>
      </w:r>
      <w:r>
        <w:t xml:space="preserve"> är en mycket kräsen art som bara förekommer i vissa betespräglade kalktallskogar med långvarig tallkontinuitet samt i exklusiva ädellövskogar på kalk. Arten får betraktas som en ”toppart” som indikerar starkt skyddsvärda skogsområden och den är placerad högst upp i Skogsstyrelsens värdepyramid för bedömning av skog med höga naturvärden. Minskningstakten har uppgått till 30 % under de senaste 50 åren och överstiger gränsvärdet för Sårbar (VU) (SLU Artdatabanken, 2024; Nitare &amp; Skogsstyrelsen, 2019).</w:t>
      </w:r>
    </w:p>
    <w:p>
      <w:r>
        <w:rPr>
          <w:b/>
        </w:rPr>
        <w:t>Narrspindling (VU)</w:t>
      </w:r>
      <w:r>
        <w:t xml:space="preserve"> bildar mykorrhiza med tall på kalkrik mark i luckig kalktallskog. Den är placerad högst upp i Skogsstyrelsens värdepyramid för bedömning av skog med höga naturvärden och är i Norden bara känd från ett fåtal lokaler på Gotland. Arten är mycket sårbar genom sin fåtaliga förekomst och bedöms ha minskat och fortsätter att minska, huvudsakligen p.g.a. slutavverkningar av äldre barrskog (SLU Artdatabanken, 2024; Nitare &amp; Skogsstyrelsen, 2019).</w:t>
      </w:r>
    </w:p>
    <w:p>
      <w:r>
        <w:rPr>
          <w:b/>
        </w:rPr>
        <w:t>Odörspindling (NT)</w:t>
      </w:r>
      <w:r>
        <w:t xml:space="preserve"> bildar mykorrhiza med gran och tall i örtrik kalkbarrskog. Den uppträder huvudsakligen i äldre barrskogar så kallade ”bondeskogar” med en lång trädkontinuitet. Minskningstakten uppgår till 15 % inom 50 år och bedöms vara nära gränsvärdet för Sårbar (VU). (A2c+3c+4c). Virkesrika, äldre barrskogar med hög bonitet, på bättre jordar är en bristvara i befintliga, skyddade områden i Sverige och fler örtrika barrskogar med trädkontinuitet måste skyddas i större utsträckning än vad som tidigare gjorts. Områden med odörspindling bör inte gallras eller plockhuggas om inte huggningen efterföljs av skogsbete (SLU Artdatabanken, 2024).</w:t>
      </w:r>
    </w:p>
    <w:p>
      <w:r>
        <w:rPr>
          <w:b/>
        </w:rPr>
        <w:t>Olivspindling</w:t>
      </w:r>
      <w:r>
        <w:t xml:space="preserve"> växer uteslutande på näringsrik och kalkhaltig skogsmark där den huvudsakligen bildar mykorrhiza med gran och tall. Svampen är en typisk representant för kalkgranskogens särpräglade och rika svampflora. Kalavverkning är ett hot mot arten, eftersom den sannolikt kräver lång kontinuitet av äldre träd. Populationerna i landet bedöms därför minska beroende på slutavverkning av äldre barrskog på kalkhaltig mark (SLU Artdatabanken, 2024; Nitare &amp; Skogsstyrelsen, 2019).</w:t>
      </w:r>
    </w:p>
    <w:p>
      <w:r>
        <w:rPr>
          <w:b/>
        </w:rPr>
        <w:t>Sotbandad spindling (EN)</w:t>
      </w:r>
      <w:r>
        <w:t xml:space="preserve"> är en starkt hotad art som bildar mykorrhiza med gran, möjligen även med tall, i äldre örtrik barrskog, gärna grandominerad kalkbarrskog på torr till frisk mark. Arten är placerad högst upp i Skogsstyrelsens värdepyramid för bedömning av skog med höga naturvärden och tål inte kalavverkning eller andra mer radikala ingrepp i växtplatsernas miljö. Kända växtplatser bör tills vidare undantas från skogsbruk (SLU Artdatabanken, 2026; Nitare &amp; Skogsstyrelsen, 2019).</w:t>
      </w:r>
    </w:p>
    <w:p>
      <w:r>
        <w:rPr>
          <w:b/>
        </w:rPr>
        <w:t>Svartgrön spindling (VU)</w:t>
      </w:r>
      <w:r>
        <w:t>, som bildar mykorrhiza med gran och tall i ängsgranskog och barrblandskog på kalkrik mark, har i Sverige sin huvudsakliga utbredning på Gotland. Arten är placerad högst upp i Skogsstyrelsens värdepyramid för bedömning av skog med höga naturvärden och den missgynnas av intensivt skogsbruk och kalavverkningar. Svartgrön spindling är globalt rödlistad som nära hotad (NT) vilket innebär att Sverige har ett internationellt ansvar för arten (SLU Artdatabanken, 2024; Nitare &amp; Skogsstyrelsen, 2019; IUCN, 2019).</w:t>
      </w:r>
    </w:p>
    <w:p>
      <w:r>
        <w:rPr>
          <w:b/>
        </w:rPr>
        <w:t xml:space="preserve">Svartnande fingersvamp (EN) </w:t>
      </w:r>
      <w:r>
        <w:t>är en mycket sällsynt och starkt hotad art som bara är påträffad i mycket exklusiva miljöer. Den indikerar överallt starkt skyddsvärda områden, såväl skogsmiljöer som öppna kalktorrängar. Lövskogslokalerna utgör gamla strandskogar, lövängar och hagmarker som sedan lång tid tillbaka är igenvuxna och mer eller mindre naturskogsartade. Dessa områden kräver ingen hävd, utan all form av avverkning som leder till mer slutet fältskikt innebär ett hot. På samtliga kända växtplatser förekommer en stor koncentration av andra sällsynta och hotade arter. Svampen är i hela Europa starkt hotad och Sverige hyser sannolikt en stor andel av världspopulationen. Samtliga växtplatser bör skyddas. Svartnande fingersvamp</w:t>
      </w:r>
      <w:r>
        <w:rPr>
          <w:b/>
        </w:rPr>
        <w:t xml:space="preserve"> </w:t>
      </w:r>
      <w:r>
        <w:t>är placerad högst upp i Skogsstyrelsens värdepyramid för bedömning av skog med höga naturvärden (SLU Artdatabanken, 2024; Nitare &amp; Skogsstyrelsen, 2019).</w:t>
      </w:r>
    </w:p>
    <w:p>
      <w:r>
        <w:rPr>
          <w:b/>
        </w:rPr>
        <w:t>Violettfläckig spindling (VU)</w:t>
      </w:r>
      <w:r>
        <w:t xml:space="preserve"> bildar mykorrhiza med gran och tall i äldre kalkbarrskogar på torr, örtrik mark. Minskningstakten uppgår till 30 % inom 50 år och överstiger gränsvärdet för Sårbar (VU). Artens ekologiska krav med fynd enbart i äldre, örtrika kalkbarrskogar med kontinuitet, miljöer som idag ofta är starkt hotade av slutavverkningar, gör den mycket sårbar. Alla kända lokaler har ett högt skyddsvärde och kalkbarrskogar med höga naturvärden bör få områdesskydd med individuellt anpassade skötselråd (SLU Artdatabanken, 2024).</w:t>
      </w:r>
    </w:p>
    <w:p>
      <w:r>
        <w:br w:type="page"/>
      </w:r>
    </w:p>
    <w:p>
      <w:pPr>
        <w:pStyle w:val="Title"/>
      </w:pPr>
      <w:r>
        <w:t>BILAGA 1 – Rödlistade arter</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som nyckelarter, eftersom en rad sällsynta efterföljande arter är beroende av deras gångsystem. Bland dessa kan nämnas åtgärdsprogramsarterna avlång barkborre (VU), </w:t>
      </w:r>
      <w:r>
        <w:rPr>
          <w:i/>
        </w:rPr>
        <w:t>Corticeus longulus</w:t>
      </w:r>
      <w:r>
        <w:t xml:space="preserve"> (VU), tallgångbagge (VU), cholodkovskys bastborre (NT) och tallbarksvartbagge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2026).</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2026.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