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brun glada (EN, §4), granrotspindling (VU), gulsträngad fagerspindling (VU), läderdoftande fingersvamp (VU), narrspindling (VU), svartgrön spindling (VU), violettfläckig spindling (VU), apollofjäril (NT, §4a), axveronika (NT), backtimjan (NT), fyrflikig jordstjärna (NT), havsörn (NT, §4), jordtistel (NT), mindre hackspett (NT, §4), odörspindling (NT), reliktbock (NT), solvända (NT), spillkråka (NT, §4), svartfläckig blåvinge (NT, §4a), anisspindling (S), blå slemspindling (S), fjällig taggsvamp s.str. (S), fransig jordstjärna (S), grovticka (S), grönpyrola (S), kamjordstjärna (S), nästrot (S, §8), purpurknipprot (S, §8), rödbrun jordstjärna (S), skarp dropptaggsvamp (S), skogsknipprot (S, §8), svavelriska (S), toppvaxing (S), brudsporre (§8), grönvit nattviol (§8), nattviol (§8),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nästrot (S, §8),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