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klagomål behandlar höga naturvärden i avverkningsanmälan A 4572-2025 i Gotlands kommun som inkom 2025-01-30 och omfattar 6,2 ha.</w:t>
      </w:r>
    </w:p>
    <w:p>
      <w:pPr>
        <w:pStyle w:val="Caption"/>
      </w:pPr>
      <w:r>
        <w:drawing>
          <wp:inline xmlns:a="http://schemas.openxmlformats.org/drawingml/2006/main" xmlns:pic="http://schemas.openxmlformats.org/drawingml/2006/picture">
            <wp:extent cx="5222872" cy="5724000"/>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22287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6367688, E 729203 i SWEREF 99 TM.</w:t>
      </w:r>
    </w:p>
    <w:p>
      <w:r>
        <w:t>I och inom 25 meter från avverkningsanmälan finns fynd av 39 naturvårdsarter, varav 21 är rödlistade, 14 är fridlysta, 9 är typiska (T) och 11 är signalarter (S): brun glada (EN, §4), granrotspindling (VU), gulsträngad fagerspindling (VU), läderdoftande fingersvamp (VU), narrspindling (VU), svartfläckig blåvinge (VU, §4a), svartgrön spindling (VU), violettfläckig spindling (VU), apollofjäril (NT, §4a), axveronika (NT), backstarr (NT), backtimjan (NT), blå slemspindling (NT, T), fjällig taggsvamp s.str. (NT), fyrflikig jordstjärna (NT, T), jordtistel (NT), mindre hackspett (NT, T, §4), odörspindling (NT), reliktbock (NT, T), skarp dropptaggsvamp (NT), solvända (NT), anisspindling (S), fransig jordstjärna (S), grovticka (S, T), grönpyrola (S, T), kamjordstjärna (S), nästrot (S, §8), purpurknipprot (S, §8), rödbrun jordstjärna (S), skogsknipprot (S, T, §8), svavelriska (S), toppvaxing (S), blåsippa (T, §9), spillkråka (T, §4), havsörn (§4), brudsporre (§8), grönvit nattviol (§8), nattviol (§8)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 glada (EN, §4)</w:t>
      </w:r>
      <w:r>
        <w:t xml:space="preserve"> är rödlistad som starkt hotad (EN) och upptagen i bilaga 1 EU:s fågeldirektiv. Den häckar i skogs- och odlingslandskap, både i större skogsområden och små dungar. Boet läggs ofta högt i ett träd, i södra Sverige oftast i ett lövträd, i norr vanligen i en tall eller gran. Det svenska beståndet är mycket litet och kan därmed försvinna av slumpmässiga faktorer som enstaka dåliga häckningssäsonger eller dödlighet under flyttning och övervintring. Kända häcklokaler måste uppmärksammas vid skogsbruksåtgärder och all påverkan på boplatsen och dess omgivningar undvikas. Spara samtliga träd med större risbon, även sådana där boet ser obebott ut och lämna en tillräckligt bred skyddszon kring boplatser vid avverkning eller andra skogliga åtgärder. Bredden beror på platsen, men som tumregel ska den ska vara så bred att boplatsen inte är väsentligt mer exponerad för insyn än tidigare (SLU Artdatabanken, 2024; Skogsstyrelsen, 2016).</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39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