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455-2020 i Gotlands kommun</w:t>
      </w:r>
    </w:p>
    <w:p>
      <w:r>
        <w:t>Detta dokument behandlar höga naturvärden i avverkningsanmälan A 455-2020 i Gotlands kommun. Denna avverkningsanmälan inkom 2020-01-07 och omfattar 7,9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duvspindling (VU), gulsträngad fagerspindling (VU), svartgrön spindling (VU), violettfläckig spindling (VU), odörspindling (NT), spillkråka (NT, §4), äggspindling (NT), anisspindling (S), blå slemspindling (S), diskvaxskivling (S), fjällig taggsvamp s.str. (S), olivspindling (S), svavelriska (S) och brudsporre (§8).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9684"/>
            <wp:docPr id="1" name="Picture 1"/>
            <wp:cNvGraphicFramePr>
              <a:graphicFrameLocks noChangeAspect="1"/>
            </wp:cNvGraphicFramePr>
            <a:graphic>
              <a:graphicData uri="http://schemas.openxmlformats.org/drawingml/2006/picture">
                <pic:pic>
                  <pic:nvPicPr>
                    <pic:cNvPr id="0" name="A 455-2020 karta.png"/>
                    <pic:cNvPicPr/>
                  </pic:nvPicPr>
                  <pic:blipFill>
                    <a:blip r:embed="rId16"/>
                    <a:stretch>
                      <a:fillRect/>
                    </a:stretch>
                  </pic:blipFill>
                  <pic:spPr>
                    <a:xfrm>
                      <a:off x="0" y="0"/>
                      <a:ext cx="5486400" cy="34796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6378678, E 693575 i SWEREF 99 TM.</w:t>
      </w:r>
    </w:p>
    <w:p>
      <w:r>
        <w:rPr>
          <w:b/>
        </w:rPr>
        <w:t>Duvspindling (VU)</w:t>
      </w:r>
      <w:r>
        <w:t xml:space="preserve"> bildar mykorrhiza med tall och förmodligen även gran i torr, kalkrik barrskog. Arten är placerad högst upp i Skogsstyrelsens värdepyramid för bedömning av skog med höga naturvärden och utgör en mycket bra indikator på skyddsvärd kalktallskog av sydöstlig typ. Kalavverkning, markberedning och markavvattning utgör de främsta hoten (SLU Artdatabanken, 2024; Nitare &amp; Skogsstyrelsen, 2019).</w:t>
      </w:r>
    </w:p>
    <w:p>
      <w:r>
        <w:rPr>
          <w:b/>
        </w:rPr>
        <w:t>Gulsträngad fagerspindling (VU)</w:t>
      </w:r>
      <w:r>
        <w:t>, som bildar mykorrhiza med tall och gran i luckig kalkbarrskog, har sin huvudsakliga utbredning på Gotland samt enstaka fynd på norra Öland. Arten är placerad högst upp i Skogsstyrelsens värdepyramid för bedömning av skog med höga naturvärden och hotas av slutavverkningar av äldre kontinuitetsbarrskog. Lokaler med arten måste skyddas från avverkning och kalkbrytning. Gulsträngad fagerspindling är globalt rödlistad som sårbar (VU) vilket innebär att Sverige har ett internationellt ansvar för arten (SLU Artdatabanken, 2024; Nitare &amp; Skogsstyrelsen, 2019; IUCN, 2019).</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Svartgrön spindling (VU)</w:t>
      </w:r>
      <w:r>
        <w:t>, som bildar mykorrhiza med gran och tall i ängsgranskog och barrblandskog på kalkrik mark, har i Sverige sin huvudsakliga utbredning på Gotland. Arten är placerad högst upp i Skogsstyrelsens värdepyramid för bedömning av skog med höga naturvärden och den missgynnas av intensivt skogsbruk och kalavverkningar. Svartgrön spindling är globalt rödlistad som nära hotad (NT) vilket innebär att Sverige har ett internationellt ansvar för arten (SLU Artdatabanken, 2024; Nitare &amp; Skogsstyrelsen, 2019; IUCN, 2019).</w:t>
      </w:r>
    </w:p>
    <w:p>
      <w:r>
        <w:rPr>
          <w:b/>
        </w:rPr>
        <w:t>Violettfläckig spindling (VU)</w:t>
      </w:r>
      <w:r>
        <w:t xml:space="preserve"> bildar mykorrhiza med gran och tall i äldre kalkbarrskogar på torr, örtrik mark. Minskningstakten uppgår till 30 % inom 50 år och överstiger gränsvärdet för Sårbar (VU). Artens ekologiska krav med fynd enbart i äldre, örtrika kalkbarrskogar med kontinuitet, miljöer som idag ofta är starkt hotade av slutavverkningar, gör den mycket sårbar. Alla kända lokaler har ett högt skyddsvärde och kalkbarrskogar med höga naturvärden bör få områdesskydd med individuellt anpassade skötselråd (SLU Artdatabanken, 2024).</w:t>
      </w:r>
    </w:p>
    <w:p>
      <w:r>
        <w:rPr>
          <w:b/>
        </w:rPr>
        <w:t xml:space="preserve">Äggspindling (NT) </w:t>
      </w:r>
      <w:r>
        <w:t>bildar mykorrhiza med gran i äldre ängsgranskog på kalkrik mark och kräver sannolikt lång kontinuitet av äldre träd. Arten bedöms ha minskat med mer än 15 % över de senaste 50 åren, p.g.a. slutavverkning av äldre skog och minskningstakten för den svenska populationen bedöms vara nära gränsvärdet för Sårbar (VU). (A2c+3c+4c). På artens växtplatser måste skogsbruk ske med stor försiktighet eftersom de ofta innehåller ett stort antal sällsynta och hotade arter. Lokaler med rika förekomster bör betraktas som nyckelbiotoper och helt undantas från avverkning. Äggspindling är globalt rödlistad som nära hotad (NT) vilket innebär att Sverige har ett internationellt ansvar för arten (SLU Artdatabanken, 2024; Nitare &amp; Skogsstyrelsen, 2019; IUCN, 2019).</w:t>
      </w:r>
    </w:p>
    <w:p>
      <w:pPr>
        <w:pStyle w:val="Heading1"/>
      </w:pPr>
      <w:r>
        <w:t>Fridlysta arter</w:t>
      </w:r>
    </w:p>
    <w:p>
      <w:r>
        <w:t>Följande fridlysta arter har sina livsmiljöer och växtplatser i den avverkningsanmälda skogen: spillkråka (NT, §4) och brudsporre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