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30236-2025 i Gotlands kommun</w:t>
      </w:r>
    </w:p>
    <w:p>
      <w:r>
        <w:t>Detta dokument behandlar höga naturvärden i avverkningsanmälan A 30236-2025 i Gotlands kommun. Denna avverkningsanmälan inkom 2025-06-19 00:00:00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bullspindling (VU), duvspindling (VU), granrotspindling (VU), gulsträngad fagerspindling (VU), läderdoftande fingersvamp (VU), stor granspindling (VU), svartgrön spindling (VU), vit taggsvamp (VU), denisespindling (NT), jordtistel (NT), odörspindling (NT), reliktbock (NT), spillkråka (NT, §4), svinrot (NT), anisspindling (S), blå slemspindling (S), blåmossa (S), grönpyrola (S), jordstjärnesläktet (S), kantjordstjärna (S), nästrot (S, §8), olivspindling (S), purpurknipprot (S, §8), rödfläckig zontaggsvamp (S), tvåblad (S, §8), vit skogslilja (S, §8), zontaggsvamp (S), grönvit nattviol (§8), nattviol (§8) och sankt pers 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30236-2025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6385159, E 725605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Stor granspindling (VU)</w:t>
      </w:r>
      <w:r>
        <w:t xml:space="preserve"> bildar mykorrhiza med gran, eventuellt även med tall, i ängsgranskog och barrblandskog på kalkrik mark. Växer huvudsakligen i äldre skogsbestånd bland örter eller i djup mossa. Arten påverkas negativt av brist på kontinuitetsskog och den totala populationen i landet bedöms fortgående minska p.g.a. slutavverkningar av äldre kalkbarrskog och försämrad habitatkvalitet (SLU Artdatabanken, 2026).</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spillkråka (NT, §4), nästrot (S, §8), purpurknipprot (S, §8), tvåblad (S, §8), vit skogslilja (S, §8), grönvit nattviol (§8), nattviol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