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5686-2024 i Gotlands kommun</w:t>
      </w:r>
    </w:p>
    <w:p>
      <w:r>
        <w:t>Detta dokument behandlar höga naturvärden i avverkningsanmälan A 5686-2024 i Gotlands kommun. Denna avverkningsanmälan inkom 2024-02-12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grönsångare (NT, §4), majviva (NT), ängsstarr (NT), purpurknipprot (S, §8), halsbandsflugsnappare (§4), skogsduva (§4), brudsporre (§8), Dactylorhiza incarnata subsp. incarnata (§8), fläcknycklar (§8), grönvit nattviol (§8) och kärrknipprot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3675"/>
            <wp:docPr id="1" name="Picture 1"/>
            <wp:cNvGraphicFramePr>
              <a:graphicFrameLocks noChangeAspect="1"/>
            </wp:cNvGraphicFramePr>
            <a:graphic>
              <a:graphicData uri="http://schemas.openxmlformats.org/drawingml/2006/picture">
                <pic:pic>
                  <pic:nvPicPr>
                    <pic:cNvPr id="0" name="A 5686-2024 karta.png"/>
                    <pic:cNvPicPr/>
                  </pic:nvPicPr>
                  <pic:blipFill>
                    <a:blip r:embed="rId16"/>
                    <a:stretch>
                      <a:fillRect/>
                    </a:stretch>
                  </pic:blipFill>
                  <pic:spPr>
                    <a:xfrm>
                      <a:off x="0" y="0"/>
                      <a:ext cx="5486400" cy="2943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6411434, E 716764 i SWEREF 99 TM.</w:t>
      </w:r>
    </w:p>
    <w:p>
      <w:pPr>
        <w:pStyle w:val="Heading1"/>
      </w:pPr>
      <w:r>
        <w:t>Fridlysta arter</w:t>
      </w:r>
    </w:p>
    <w:p>
      <w:r>
        <w:t>Följande fridlysta arter har sina livsmiljöer och växtplatser i den avverkningsanmälda skogen: grönsångare (NT, §4), purpurknipprot (S, §8), halsbandsflugsnappare (§4), skogsduva (§4), brudsporre (§8), Dactylorhiza incarnata subsp. incarnata (§8), fläcknycklar (§8), grönvit nattviol (§8) och kärrknipprot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